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5A8" w:rsidRPr="00AF25A8" w:rsidRDefault="00AF25A8" w:rsidP="00AF25A8">
      <w:pPr>
        <w:spacing w:line="360" w:lineRule="auto"/>
        <w:contextualSpacing/>
        <w:jc w:val="center"/>
        <w:rPr>
          <w:rFonts w:ascii="Times New Roman" w:hAnsi="Times New Roman" w:cs="Times New Roman"/>
          <w:b/>
          <w:sz w:val="24"/>
        </w:rPr>
      </w:pPr>
      <w:r w:rsidRPr="00AF25A8">
        <w:rPr>
          <w:rFonts w:ascii="Times New Roman" w:hAnsi="Times New Roman" w:cs="Times New Roman"/>
          <w:b/>
          <w:sz w:val="24"/>
        </w:rPr>
        <w:t>Plány na využití budovy bývalé věznice v Uherském Hradišti v 60. a 80. l. 20. st.</w:t>
      </w:r>
    </w:p>
    <w:p w:rsidR="00AF25A8" w:rsidRPr="00AF25A8" w:rsidRDefault="00AF25A8" w:rsidP="00AF25A8">
      <w:pPr>
        <w:spacing w:line="360" w:lineRule="auto"/>
        <w:contextualSpacing/>
        <w:jc w:val="center"/>
        <w:rPr>
          <w:rFonts w:ascii="Times New Roman" w:hAnsi="Times New Roman" w:cs="Times New Roman"/>
          <w:sz w:val="24"/>
        </w:rPr>
      </w:pPr>
      <w:r w:rsidRPr="00AF25A8">
        <w:rPr>
          <w:rFonts w:ascii="Times New Roman" w:hAnsi="Times New Roman" w:cs="Times New Roman"/>
          <w:sz w:val="24"/>
        </w:rPr>
        <w:t>Ondřej Hladík, Kabinet dokumentace a historie VS ČR</w:t>
      </w:r>
    </w:p>
    <w:p w:rsidR="00AF25A8" w:rsidRPr="00AF25A8" w:rsidRDefault="00AF25A8" w:rsidP="00AF25A8">
      <w:pPr>
        <w:spacing w:line="360" w:lineRule="auto"/>
        <w:contextualSpacing/>
        <w:jc w:val="center"/>
        <w:rPr>
          <w:rFonts w:ascii="Times New Roman" w:hAnsi="Times New Roman" w:cs="Times New Roman"/>
          <w:sz w:val="24"/>
        </w:rPr>
      </w:pPr>
    </w:p>
    <w:p w:rsidR="00AF25A8" w:rsidRPr="00AF25A8" w:rsidRDefault="00AF25A8" w:rsidP="00AF25A8">
      <w:pPr>
        <w:spacing w:line="360" w:lineRule="auto"/>
        <w:contextualSpacing/>
        <w:jc w:val="both"/>
        <w:rPr>
          <w:rFonts w:ascii="Times New Roman" w:hAnsi="Times New Roman" w:cs="Times New Roman"/>
          <w:sz w:val="24"/>
        </w:rPr>
      </w:pPr>
      <w:r w:rsidRPr="00AF25A8">
        <w:rPr>
          <w:rFonts w:ascii="Times New Roman" w:hAnsi="Times New Roman" w:cs="Times New Roman"/>
          <w:sz w:val="24"/>
        </w:rPr>
        <w:tab/>
        <w:t xml:space="preserve"> Ač by se mohlo zdát, že historie věznic je v podstatě monotematickým přehledem informací o jejich vzniku, zahájení provozu či maximálním počtu odsouzených, kteří se do jejich prostor vešli, skutečnost je v mnoha případech zcela jiná. Ze současných stále funkčních areálů má bezpochyby nejbohatší minulost původně biskupský hrad na Mírově společně s valdickou kartouzou založenou Albrechtem z Valdštejna, ale nejen tyto asi nejznámější vězeňské ústavy si zaslouží pozornost. Za velmi zajímavé lze považovat například i osudy bývalé okresní soudní věznice v Lokti, jež se nacházela v prostorách známého západočeského hradu, kde současně existovalo i městské muzeum.</w:t>
      </w:r>
      <w:r w:rsidRPr="00AF25A8">
        <w:rPr>
          <w:rFonts w:ascii="Times New Roman" w:hAnsi="Times New Roman" w:cs="Times New Roman"/>
          <w:sz w:val="24"/>
          <w:vertAlign w:val="superscript"/>
        </w:rPr>
        <w:footnoteReference w:id="1"/>
      </w:r>
      <w:r w:rsidRPr="00AF25A8">
        <w:rPr>
          <w:rFonts w:ascii="Times New Roman" w:hAnsi="Times New Roman" w:cs="Times New Roman"/>
          <w:sz w:val="24"/>
        </w:rPr>
        <w:t xml:space="preserve"> Existuje však ještě jedna specifická skupina, do níž patří věznice, vznikající po soudních reformách v polovině 19. století jako novostavby určené přímo k tomu, aby si v nich delikventi odpykali soudem vyměřený trest, ale z různých důvodů během století následujícího přestaly tento účel plnit.</w:t>
      </w:r>
    </w:p>
    <w:p w:rsidR="00AF25A8" w:rsidRPr="00AF25A8" w:rsidRDefault="00AF25A8" w:rsidP="00AF25A8">
      <w:pPr>
        <w:spacing w:line="360" w:lineRule="auto"/>
        <w:contextualSpacing/>
        <w:jc w:val="both"/>
        <w:rPr>
          <w:rFonts w:ascii="Times New Roman" w:hAnsi="Times New Roman" w:cs="Times New Roman"/>
          <w:sz w:val="24"/>
        </w:rPr>
      </w:pPr>
      <w:r w:rsidRPr="00AF25A8">
        <w:rPr>
          <w:rFonts w:ascii="Times New Roman" w:hAnsi="Times New Roman" w:cs="Times New Roman"/>
          <w:sz w:val="24"/>
        </w:rPr>
        <w:tab/>
        <w:t>Do uvedené kategorie patří i bývalá krajská soudní věznice v Uherském Hradišti, stojící ve středu zájmu tohoto odborného setkání. Je tedy zřejmé, že v jejím případě nelze hovořit o pestré minulosti sahající až do středověku nebo raného novověku, jedná se o historii daleko kratší, ale přesto zahrnující mnoho zásadních témat. Na jejím pomyslném konci pak stojí kapitola, která z  dnešního pohledu nekončí příliš pozitivně – chátráním pustnoucích objektů.</w:t>
      </w:r>
      <w:r w:rsidRPr="00AF25A8">
        <w:rPr>
          <w:rFonts w:ascii="Times New Roman" w:hAnsi="Times New Roman" w:cs="Times New Roman"/>
          <w:sz w:val="24"/>
          <w:vertAlign w:val="superscript"/>
        </w:rPr>
        <w:footnoteReference w:id="2"/>
      </w:r>
      <w:r w:rsidRPr="00AF25A8">
        <w:rPr>
          <w:rFonts w:ascii="Times New Roman" w:hAnsi="Times New Roman" w:cs="Times New Roman"/>
          <w:sz w:val="24"/>
        </w:rPr>
        <w:t xml:space="preserve"> K tomu však nedošlo přímo v důsledku odchodu posledních odsouzených, bez jejichž přítomnosti by celý areál pozbyl smyslu existence, vede k němu cesta přesahující pět desetiletí, během nichž proběhlo několik pokusů o nalezení nového a smysluplného způsobu využití. Právě tyto události si klade za úkol přiblížit předkládaný příspěvek.</w:t>
      </w:r>
    </w:p>
    <w:p w:rsidR="00AF25A8" w:rsidRPr="00AF25A8" w:rsidRDefault="00AF25A8" w:rsidP="00AF25A8">
      <w:pPr>
        <w:spacing w:line="360" w:lineRule="auto"/>
        <w:contextualSpacing/>
        <w:jc w:val="both"/>
        <w:rPr>
          <w:rFonts w:ascii="Times New Roman" w:hAnsi="Times New Roman" w:cs="Times New Roman"/>
          <w:sz w:val="24"/>
        </w:rPr>
      </w:pPr>
      <w:r w:rsidRPr="00AF25A8">
        <w:rPr>
          <w:rFonts w:ascii="Times New Roman" w:hAnsi="Times New Roman" w:cs="Times New Roman"/>
          <w:sz w:val="24"/>
        </w:rPr>
        <w:tab/>
        <w:t xml:space="preserve">Před vlastní analýzou plánů na využití celého komplexu ale nejprve několik slov ke zrušení věznice. Došlo k němu v roce 1960 na základě reformy veřejné správy, která tehdy proběhla. Ta vycházela ze zákona č. 36/1960 Sb., o územním členění státu. Byl tak mimo jiné zrušen i Gotwaldovský kraj a většina jeho dosavadního území připadla nově zřízenému kraji jihomoravskému se správním centrem v Brně. Navazující uzákoněné nařízení ministra </w:t>
      </w:r>
      <w:r w:rsidRPr="00AF25A8">
        <w:rPr>
          <w:rFonts w:ascii="Times New Roman" w:hAnsi="Times New Roman" w:cs="Times New Roman"/>
          <w:sz w:val="24"/>
        </w:rPr>
        <w:lastRenderedPageBreak/>
        <w:t>spravedlnosti stejným způsobem reorganizovalo justiční správu, takže dosavadní krajské soudy přesídlily do sídel nových krajských národních výborů (KNV).</w:t>
      </w:r>
      <w:r w:rsidRPr="00AF25A8">
        <w:rPr>
          <w:rFonts w:ascii="Times New Roman" w:hAnsi="Times New Roman" w:cs="Times New Roman"/>
          <w:sz w:val="24"/>
          <w:vertAlign w:val="superscript"/>
        </w:rPr>
        <w:footnoteReference w:id="3"/>
      </w:r>
      <w:r w:rsidRPr="00AF25A8">
        <w:rPr>
          <w:rFonts w:ascii="Times New Roman" w:hAnsi="Times New Roman" w:cs="Times New Roman"/>
          <w:sz w:val="24"/>
        </w:rPr>
        <w:t xml:space="preserve"> Uvedená změna samozřejmě postihla i soud s věznicí v Uherském Hradišti, jež proto ukončily činnost.</w:t>
      </w:r>
    </w:p>
    <w:p w:rsidR="00AF25A8" w:rsidRPr="00AF25A8" w:rsidRDefault="00AF25A8" w:rsidP="00AF25A8">
      <w:pPr>
        <w:spacing w:line="360" w:lineRule="auto"/>
        <w:contextualSpacing/>
        <w:jc w:val="both"/>
        <w:rPr>
          <w:rFonts w:ascii="Times New Roman" w:hAnsi="Times New Roman" w:cs="Times New Roman"/>
          <w:sz w:val="24"/>
        </w:rPr>
      </w:pPr>
      <w:r w:rsidRPr="00AF25A8">
        <w:rPr>
          <w:rFonts w:ascii="Times New Roman" w:hAnsi="Times New Roman" w:cs="Times New Roman"/>
          <w:sz w:val="24"/>
        </w:rPr>
        <w:tab/>
        <w:t>Takzvaný justiční palác ale nezůstal nevyužit. V budově bývalého krajského soudu sídlil okresní soud, okresní prokuratura a státní notářství. Ve věznici pak mělo kanceláře Okresní oddělení Sboru národní bezpečnosti (SNB), které zabíraly 29 místností o celkové rozloze 822 m</w:t>
      </w:r>
      <w:r w:rsidRPr="00AF25A8">
        <w:rPr>
          <w:rFonts w:ascii="Times New Roman" w:hAnsi="Times New Roman" w:cs="Times New Roman"/>
          <w:sz w:val="24"/>
          <w:vertAlign w:val="superscript"/>
        </w:rPr>
        <w:t>2</w:t>
      </w:r>
      <w:r w:rsidRPr="00AF25A8">
        <w:rPr>
          <w:rFonts w:ascii="Times New Roman" w:hAnsi="Times New Roman" w:cs="Times New Roman"/>
          <w:sz w:val="24"/>
        </w:rPr>
        <w:t>. Další prostory areálu sloužily jako skladiště pro potřeby Vnitřní stráže ministerstva vnitra (celkem 114 místností, 2075 m</w:t>
      </w:r>
      <w:r w:rsidRPr="00AF25A8">
        <w:rPr>
          <w:rFonts w:ascii="Times New Roman" w:hAnsi="Times New Roman" w:cs="Times New Roman"/>
          <w:sz w:val="24"/>
          <w:vertAlign w:val="superscript"/>
        </w:rPr>
        <w:t>2</w:t>
      </w:r>
      <w:r w:rsidRPr="00AF25A8">
        <w:rPr>
          <w:rFonts w:ascii="Times New Roman" w:hAnsi="Times New Roman" w:cs="Times New Roman"/>
          <w:sz w:val="24"/>
        </w:rPr>
        <w:t>), ale záhy byly shledány k tomuto účelu jako nevhodné, protože podlahy neměly potřebnou nosnost a charakter stavby neumožňoval využití potřebné mechanizace, takže přemisťování materiálu „…</w:t>
      </w:r>
      <w:r w:rsidRPr="00AF25A8">
        <w:rPr>
          <w:rFonts w:ascii="Times New Roman" w:hAnsi="Times New Roman" w:cs="Times New Roman"/>
          <w:i/>
          <w:sz w:val="24"/>
        </w:rPr>
        <w:t xml:space="preserve">vyžaduje pouze ruční přepravu a v současné době </w:t>
      </w:r>
      <w:r w:rsidRPr="00AF25A8">
        <w:rPr>
          <w:rFonts w:ascii="Times New Roman" w:hAnsi="Times New Roman" w:cs="Times New Roman"/>
          <w:sz w:val="24"/>
        </w:rPr>
        <w:t xml:space="preserve">(v roce 1964 – pozn. autora) </w:t>
      </w:r>
      <w:r w:rsidRPr="00AF25A8">
        <w:rPr>
          <w:rFonts w:ascii="Times New Roman" w:hAnsi="Times New Roman" w:cs="Times New Roman"/>
          <w:i/>
          <w:sz w:val="24"/>
        </w:rPr>
        <w:t>je objekt vnitřní stráží uvolněn</w:t>
      </w:r>
      <w:r w:rsidRPr="00AF25A8">
        <w:rPr>
          <w:rFonts w:ascii="Times New Roman" w:hAnsi="Times New Roman" w:cs="Times New Roman"/>
          <w:sz w:val="24"/>
        </w:rPr>
        <w:t>.“</w:t>
      </w:r>
      <w:r w:rsidRPr="00AF25A8">
        <w:rPr>
          <w:rFonts w:ascii="Times New Roman" w:hAnsi="Times New Roman" w:cs="Times New Roman"/>
          <w:sz w:val="24"/>
          <w:vertAlign w:val="superscript"/>
        </w:rPr>
        <w:footnoteReference w:id="4"/>
      </w:r>
      <w:r w:rsidRPr="00AF25A8">
        <w:rPr>
          <w:rFonts w:ascii="Times New Roman" w:hAnsi="Times New Roman" w:cs="Times New Roman"/>
          <w:sz w:val="24"/>
        </w:rPr>
        <w:t xml:space="preserve"> Rovněž tak vězeňská správa areál zcela neopustila a využívala jeho část jako sklad intendančního materiálu,</w:t>
      </w:r>
      <w:r w:rsidRPr="00AF25A8">
        <w:rPr>
          <w:rFonts w:ascii="Times New Roman" w:hAnsi="Times New Roman" w:cs="Times New Roman"/>
          <w:sz w:val="24"/>
          <w:vertAlign w:val="superscript"/>
        </w:rPr>
        <w:footnoteReference w:id="5"/>
      </w:r>
      <w:r w:rsidRPr="00AF25A8">
        <w:rPr>
          <w:rFonts w:ascii="Times New Roman" w:hAnsi="Times New Roman" w:cs="Times New Roman"/>
          <w:sz w:val="24"/>
        </w:rPr>
        <w:t xml:space="preserve"> a to přes výše uvedené postoje Vnitřní stráže MV.</w:t>
      </w:r>
    </w:p>
    <w:p w:rsidR="00AF25A8" w:rsidRPr="00AF25A8" w:rsidRDefault="00AF25A8" w:rsidP="00AF25A8">
      <w:pPr>
        <w:spacing w:line="360" w:lineRule="auto"/>
        <w:contextualSpacing/>
        <w:jc w:val="both"/>
        <w:rPr>
          <w:rFonts w:ascii="Times New Roman" w:hAnsi="Times New Roman" w:cs="Times New Roman"/>
          <w:sz w:val="24"/>
        </w:rPr>
      </w:pPr>
      <w:r w:rsidRPr="00AF25A8">
        <w:rPr>
          <w:rFonts w:ascii="Times New Roman" w:hAnsi="Times New Roman" w:cs="Times New Roman"/>
          <w:sz w:val="24"/>
        </w:rPr>
        <w:tab/>
        <w:t xml:space="preserve">  Okresní výbor KSČ (OV KSČ) v Uherském Hradišti se ale v první polovině 60. let zabýval nevhodným umístěním střední umělecko-průmyslové školy (SÚPŠ). Tento problém měla původně vyřešit novostavba v Gottwaldově, s jejíž realizací se počítalo v roce 1962, ale investiční záměr ve výši 7 milionů korun nakonec znemožnil dostatek finančních prostředků s tím, že „</w:t>
      </w:r>
      <w:r w:rsidRPr="00AF25A8">
        <w:rPr>
          <w:rFonts w:ascii="Times New Roman" w:hAnsi="Times New Roman" w:cs="Times New Roman"/>
          <w:i/>
          <w:sz w:val="24"/>
        </w:rPr>
        <w:t>nadřízené orgány</w:t>
      </w:r>
      <w:r w:rsidRPr="00AF25A8">
        <w:rPr>
          <w:rFonts w:ascii="Times New Roman" w:hAnsi="Times New Roman" w:cs="Times New Roman"/>
          <w:sz w:val="24"/>
        </w:rPr>
        <w:t>“ nedávaly do budoucna naději na zabezpečení dostatečného krytí nákladů spojených se zahájením prací.</w:t>
      </w:r>
    </w:p>
    <w:p w:rsidR="00AF25A8" w:rsidRPr="00AF25A8" w:rsidRDefault="00AF25A8" w:rsidP="00AF25A8">
      <w:pPr>
        <w:spacing w:line="360" w:lineRule="auto"/>
        <w:ind w:firstLine="708"/>
        <w:contextualSpacing/>
        <w:jc w:val="both"/>
        <w:rPr>
          <w:rFonts w:ascii="Times New Roman" w:hAnsi="Times New Roman" w:cs="Times New Roman"/>
          <w:sz w:val="24"/>
        </w:rPr>
      </w:pPr>
      <w:r w:rsidRPr="00AF25A8">
        <w:rPr>
          <w:rFonts w:ascii="Times New Roman" w:hAnsi="Times New Roman" w:cs="Times New Roman"/>
          <w:sz w:val="24"/>
        </w:rPr>
        <w:t>Žáci proto ještě v roce 1964 studovali na šesti vzájemně dosti vzdálených místech, navíc v nevyhovujících prostorách. Největší část sídlila v druhém poschodí okresního národního výboru (ONV), které však nesplňovalo všechny požadavky z hlediska statiky: „</w:t>
      </w:r>
      <w:r w:rsidRPr="00AF25A8">
        <w:rPr>
          <w:rFonts w:ascii="Times New Roman" w:hAnsi="Times New Roman" w:cs="Times New Roman"/>
          <w:i/>
          <w:sz w:val="24"/>
        </w:rPr>
        <w:t>Při provozu strojů zde umístěných vznikají na objektu neustálé škody (opadávání omítek, praskání objektu, praskání okenních tabulí atd.).“</w:t>
      </w:r>
      <w:r w:rsidRPr="00AF25A8">
        <w:rPr>
          <w:rFonts w:ascii="Times New Roman" w:hAnsi="Times New Roman" w:cs="Times New Roman"/>
          <w:sz w:val="24"/>
          <w:vertAlign w:val="superscript"/>
        </w:rPr>
        <w:footnoteReference w:id="6"/>
      </w:r>
      <w:r w:rsidRPr="00AF25A8">
        <w:rPr>
          <w:rFonts w:ascii="Times New Roman" w:hAnsi="Times New Roman" w:cs="Times New Roman"/>
          <w:i/>
          <w:sz w:val="24"/>
        </w:rPr>
        <w:t xml:space="preserve"> </w:t>
      </w:r>
      <w:r w:rsidRPr="00AF25A8">
        <w:rPr>
          <w:rFonts w:ascii="Times New Roman" w:hAnsi="Times New Roman" w:cs="Times New Roman"/>
          <w:sz w:val="24"/>
        </w:rPr>
        <w:t xml:space="preserve">Obory stolařství, kamenictví, sochařství, keramika a chlapecký internát měl své sídlo v takzvané „Franklovce“, která původně patřila lihovarníkovi Frankolovi. Zájemci o dekorační malbu chodili do objektu nazývaného „pod radnicí“. Ten však místní funkcionáři zhodnotili tak, že je vhodný pouze jako skladový areál. Kamenosochařská dílna na tom nebyla o mnoho lépe, protože pro své potřeby mohla využívat </w:t>
      </w:r>
      <w:r w:rsidRPr="00AF25A8">
        <w:rPr>
          <w:rFonts w:ascii="Times New Roman" w:hAnsi="Times New Roman" w:cs="Times New Roman"/>
          <w:sz w:val="24"/>
        </w:rPr>
        <w:lastRenderedPageBreak/>
        <w:t>jednu místnost v garážích v Rostislavově ulici. Dívčí internát se nacházel ve vile malíře Stanislava Lolka z roku 1931 a školní kuchyně s jídelnou zabírala Měšťanskou besedu. Nemůže proto překvapit, že místní funkcionáři obrátili pozornost k rozsáhlému komplexu soudu a věznice.</w:t>
      </w:r>
    </w:p>
    <w:p w:rsidR="00AF25A8" w:rsidRPr="00AF25A8" w:rsidRDefault="00AF25A8" w:rsidP="00AF25A8">
      <w:pPr>
        <w:spacing w:line="360" w:lineRule="auto"/>
        <w:ind w:firstLine="708"/>
        <w:contextualSpacing/>
        <w:jc w:val="both"/>
        <w:rPr>
          <w:rFonts w:ascii="Times New Roman" w:hAnsi="Times New Roman" w:cs="Times New Roman"/>
          <w:sz w:val="24"/>
        </w:rPr>
      </w:pPr>
      <w:r w:rsidRPr="00AF25A8">
        <w:rPr>
          <w:rFonts w:ascii="Times New Roman" w:hAnsi="Times New Roman" w:cs="Times New Roman"/>
          <w:sz w:val="24"/>
        </w:rPr>
        <w:t>Jejich kroky nacházely oporu v postojích a požadavcích nejvyšších vládních a stranických míst. Již v roce 1959 byl přijat zákon č. 52/1959 Sb., o osvětové činnosti, podle nějž veškeré kroky spojené s plánovaním propagandistických aktivit, včetně budování „osvětových zařízení“ spadaly do pravomocí (a povinností) národních výborů.</w:t>
      </w:r>
      <w:r w:rsidRPr="00AF25A8">
        <w:rPr>
          <w:rFonts w:ascii="Times New Roman" w:hAnsi="Times New Roman" w:cs="Times New Roman"/>
          <w:sz w:val="24"/>
          <w:vertAlign w:val="superscript"/>
        </w:rPr>
        <w:footnoteReference w:id="7"/>
      </w:r>
      <w:r w:rsidRPr="00AF25A8">
        <w:rPr>
          <w:rFonts w:ascii="Times New Roman" w:hAnsi="Times New Roman" w:cs="Times New Roman"/>
          <w:sz w:val="24"/>
        </w:rPr>
        <w:t xml:space="preserve"> Ještě před přijetím této právní normy vystoupil ministr školství František Kahuda v Národním shromáždění s projevem k předkládané osnově uvedeného zákona, kde mimo jiné prohlásil: „</w:t>
      </w:r>
      <w:r w:rsidRPr="00AF25A8">
        <w:rPr>
          <w:rFonts w:ascii="Times New Roman" w:hAnsi="Times New Roman" w:cs="Times New Roman"/>
          <w:i/>
          <w:sz w:val="24"/>
        </w:rPr>
        <w:t>To hlavní spočívá v nutnost zajistit jednotu politického a kulturního života. V tomto ohledu přísluší významná úloha národním výborům, které podle ústavního zákona o řízení hospodářské a kulturní výstavby odpovídají za úsek osvěty v celé šíři</w:t>
      </w:r>
      <w:r w:rsidRPr="00AF25A8">
        <w:rPr>
          <w:rFonts w:ascii="Times New Roman" w:hAnsi="Times New Roman" w:cs="Times New Roman"/>
          <w:sz w:val="24"/>
        </w:rPr>
        <w:t>.“</w:t>
      </w:r>
      <w:r w:rsidRPr="00AF25A8">
        <w:rPr>
          <w:rFonts w:ascii="Times New Roman" w:hAnsi="Times New Roman" w:cs="Times New Roman"/>
          <w:sz w:val="24"/>
          <w:vertAlign w:val="superscript"/>
        </w:rPr>
        <w:footnoteReference w:id="8"/>
      </w:r>
      <w:r w:rsidRPr="00AF25A8">
        <w:rPr>
          <w:rFonts w:ascii="Times New Roman" w:hAnsi="Times New Roman" w:cs="Times New Roman"/>
          <w:sz w:val="24"/>
        </w:rPr>
        <w:t xml:space="preserve"> Při výkladu o nutnosti jeho přijetí se rovněž zaštiťoval směrnicemi přijatými na XI. sjezdu KSČ, dílčími usnesení Ústředního výboru KSČ (ÚV KSČ) a závěry ze Sjezdu socialistické kultury. Tato skutečnost představovala pro prosazení plánů na další využití věznice významnou podporu, obzvláště když ji doposud spravovaly orgány ministerstva vnitra. Umístění střední školy sice přímo nesouviselo s osvětou, ale zároveň se počítalo se zřízením domu pionýrů v jednom z uvolněných domů, a ten již přímo konvenoval se záměry komunistického vedení.</w:t>
      </w:r>
      <w:r w:rsidRPr="00AF25A8">
        <w:rPr>
          <w:rFonts w:ascii="Times New Roman" w:hAnsi="Times New Roman" w:cs="Times New Roman"/>
          <w:sz w:val="24"/>
          <w:vertAlign w:val="superscript"/>
        </w:rPr>
        <w:footnoteReference w:id="9"/>
      </w:r>
    </w:p>
    <w:p w:rsidR="00AF25A8" w:rsidRPr="00AF25A8" w:rsidRDefault="00AF25A8" w:rsidP="00AF25A8">
      <w:pPr>
        <w:spacing w:line="360" w:lineRule="auto"/>
        <w:ind w:firstLine="708"/>
        <w:contextualSpacing/>
        <w:jc w:val="both"/>
        <w:rPr>
          <w:rFonts w:ascii="Times New Roman" w:hAnsi="Times New Roman" w:cs="Times New Roman"/>
          <w:sz w:val="24"/>
        </w:rPr>
      </w:pPr>
      <w:r w:rsidRPr="00AF25A8">
        <w:rPr>
          <w:rFonts w:ascii="Times New Roman" w:hAnsi="Times New Roman" w:cs="Times New Roman"/>
          <w:sz w:val="24"/>
        </w:rPr>
        <w:t>Přímou oporu v jednání představovalo pro OV KSČ Uherské Hradiště usnesení vlády č. 948 z 13. listopadu 1959, nařizující využít budovy uvolněné v důsledku územní reorganizace především k pokrytí požadavků školství, kultury a zdravotnictví. Právě na jeho základě sestavila komise obrany uvedeného úřadu informační dopis, který v březnu 1964 zaslala společně s návrhem na využití věznice ministrům vnitra a školství. Současně ho autoři adresovali také XI. oddělení ÚV KSČ v Praze. Tomu však předcházelo předběžné projednání plánu na Krajském výboru KSČ a KNV v Brně.  V uvedené písemnosti bylo přímo uvedeno: „…</w:t>
      </w:r>
      <w:r w:rsidRPr="00AF25A8">
        <w:rPr>
          <w:rFonts w:ascii="Times New Roman" w:hAnsi="Times New Roman" w:cs="Times New Roman"/>
          <w:i/>
          <w:sz w:val="24"/>
        </w:rPr>
        <w:t>považujeme jejich dnešní využití za nedostatečné a v rozporu s intencemi vládního usnesení…</w:t>
      </w:r>
      <w:r w:rsidRPr="00AF25A8">
        <w:rPr>
          <w:rFonts w:ascii="Times New Roman" w:hAnsi="Times New Roman" w:cs="Times New Roman"/>
          <w:sz w:val="24"/>
        </w:rPr>
        <w:t>“.</w:t>
      </w:r>
      <w:r w:rsidRPr="00AF25A8">
        <w:rPr>
          <w:rFonts w:ascii="Times New Roman" w:hAnsi="Times New Roman" w:cs="Times New Roman"/>
          <w:sz w:val="24"/>
          <w:vertAlign w:val="superscript"/>
        </w:rPr>
        <w:footnoteReference w:id="10"/>
      </w:r>
      <w:r w:rsidRPr="00AF25A8">
        <w:rPr>
          <w:rFonts w:ascii="Times New Roman" w:hAnsi="Times New Roman" w:cs="Times New Roman"/>
          <w:sz w:val="24"/>
        </w:rPr>
        <w:t xml:space="preserve"> Oprávněnost plánovaných kroků dokument dokládá účastí blíže nespecifikovaného „…</w:t>
      </w:r>
      <w:r w:rsidRPr="00AF25A8">
        <w:rPr>
          <w:rFonts w:ascii="Times New Roman" w:hAnsi="Times New Roman" w:cs="Times New Roman"/>
          <w:i/>
          <w:sz w:val="24"/>
        </w:rPr>
        <w:t>úzkého kruhu vybraných odborníků…</w:t>
      </w:r>
      <w:r w:rsidRPr="00AF25A8">
        <w:rPr>
          <w:rFonts w:ascii="Times New Roman" w:hAnsi="Times New Roman" w:cs="Times New Roman"/>
          <w:sz w:val="24"/>
        </w:rPr>
        <w:t xml:space="preserve">“, kteří se usnesli </w:t>
      </w:r>
      <w:r w:rsidRPr="00AF25A8">
        <w:rPr>
          <w:rFonts w:ascii="Times New Roman" w:hAnsi="Times New Roman" w:cs="Times New Roman"/>
          <w:sz w:val="24"/>
        </w:rPr>
        <w:lastRenderedPageBreak/>
        <w:t>na následujícím: „</w:t>
      </w:r>
      <w:r w:rsidRPr="00AF25A8">
        <w:rPr>
          <w:rFonts w:ascii="Times New Roman" w:hAnsi="Times New Roman" w:cs="Times New Roman"/>
          <w:i/>
          <w:sz w:val="24"/>
        </w:rPr>
        <w:t>Po prozkoumání a celkovém posouzení objektů soudu a věznice mohla by být vzniklá situace uspokojivě řešena vhodnějším mírovým využitím těchto objektů po provedení nutných úprav.</w:t>
      </w:r>
      <w:r w:rsidRPr="00AF25A8">
        <w:rPr>
          <w:rFonts w:ascii="Times New Roman" w:hAnsi="Times New Roman" w:cs="Times New Roman"/>
          <w:sz w:val="24"/>
        </w:rPr>
        <w:t>“</w:t>
      </w:r>
      <w:r w:rsidRPr="00AF25A8">
        <w:rPr>
          <w:rFonts w:ascii="Times New Roman" w:hAnsi="Times New Roman" w:cs="Times New Roman"/>
          <w:sz w:val="24"/>
          <w:vertAlign w:val="superscript"/>
        </w:rPr>
        <w:footnoteReference w:id="11"/>
      </w:r>
    </w:p>
    <w:p w:rsidR="00AF25A8" w:rsidRPr="00AF25A8" w:rsidRDefault="00AF25A8" w:rsidP="00AF25A8">
      <w:pPr>
        <w:spacing w:line="360" w:lineRule="auto"/>
        <w:ind w:firstLine="708"/>
        <w:contextualSpacing/>
        <w:jc w:val="both"/>
        <w:rPr>
          <w:rFonts w:ascii="Times New Roman" w:hAnsi="Times New Roman" w:cs="Times New Roman"/>
          <w:sz w:val="24"/>
        </w:rPr>
      </w:pPr>
      <w:r w:rsidRPr="00AF25A8">
        <w:rPr>
          <w:rFonts w:ascii="Times New Roman" w:hAnsi="Times New Roman" w:cs="Times New Roman"/>
          <w:sz w:val="24"/>
        </w:rPr>
        <w:t>Současně proběhla přípravná jednání s představiteli okresního soudu, prokuratury a notářství. Jejich výsledek byl rovněž příznivý, protože všichni souhlasili s přestěhováním těchto úřadů do druhého poschodí ONV s podmínkou, že v suterénu jim bude vyhrazeno 11 místností pro uložení pozemkových knih, archiv a spisovnu.</w:t>
      </w:r>
      <w:r w:rsidRPr="00AF25A8">
        <w:rPr>
          <w:rFonts w:ascii="Times New Roman" w:hAnsi="Times New Roman" w:cs="Times New Roman"/>
          <w:sz w:val="24"/>
          <w:vertAlign w:val="superscript"/>
        </w:rPr>
        <w:footnoteReference w:id="12"/>
      </w:r>
    </w:p>
    <w:p w:rsidR="00AF25A8" w:rsidRPr="00AF25A8" w:rsidRDefault="00AF25A8" w:rsidP="00AF25A8">
      <w:pPr>
        <w:spacing w:line="360" w:lineRule="auto"/>
        <w:ind w:firstLine="708"/>
        <w:contextualSpacing/>
        <w:jc w:val="both"/>
        <w:rPr>
          <w:rFonts w:ascii="Times New Roman" w:hAnsi="Times New Roman" w:cs="Times New Roman"/>
          <w:sz w:val="24"/>
        </w:rPr>
      </w:pPr>
      <w:r w:rsidRPr="00AF25A8">
        <w:rPr>
          <w:rFonts w:ascii="Times New Roman" w:hAnsi="Times New Roman" w:cs="Times New Roman"/>
          <w:sz w:val="24"/>
        </w:rPr>
        <w:t>Po uzavření zmíněné dohody mohla začít vlastní realizace projektu. Ten měl mít pozitivní dopad především na provoz SÚPŠ, která by tak získala rozlehlý areál, do nějž mohla přemístit, jak všechny studijní obory, tak i internáty a jídelnu. Zároveň se počítalo s využitím uvolněné „Franklovky“ ke zřízení výše zmíněného domu pionýrů, který tehdy v Uherském Hradišti chyběl, což údajně přinášelo neustálou kritiku z vyšších míst, protože jiné okresy již tímto zařízením disponovaly. Jen připomeňme ustanovení osvětového zákona z roku 1959 a bude zřejmé, že v roce 1964 se tato situace stala snadným způsobem, jak vystupovat proti funkcionářům na všech úrovních správy města i okresu. Nelze se proto divit snahám o urychlené vyřešení nastíněného problému. Rovněž tak koncentrace řady důležitých úřadů v budově ONV hodnotil popsaný návrh jako krok přínosný pro většinu obyvatel z hlediska zjednodušení vyřizování jejich záležitostí. Jestli to tak nakonec opravdu dopadlo, analyzované prameny neuvádějí.</w:t>
      </w:r>
    </w:p>
    <w:p w:rsidR="00AF25A8" w:rsidRPr="00AF25A8" w:rsidRDefault="00AF25A8" w:rsidP="00AF25A8">
      <w:pPr>
        <w:spacing w:line="360" w:lineRule="auto"/>
        <w:ind w:firstLine="708"/>
        <w:contextualSpacing/>
        <w:jc w:val="both"/>
        <w:rPr>
          <w:rFonts w:ascii="Times New Roman" w:hAnsi="Times New Roman" w:cs="Times New Roman"/>
          <w:sz w:val="24"/>
        </w:rPr>
      </w:pPr>
      <w:r w:rsidRPr="00AF25A8">
        <w:rPr>
          <w:rFonts w:ascii="Times New Roman" w:hAnsi="Times New Roman" w:cs="Times New Roman"/>
          <w:sz w:val="24"/>
        </w:rPr>
        <w:t xml:space="preserve"> Zároveň se však objevilo i několik problémů. Za nejzávažnější bylo považováno dočasné soužití školského zařízení s bezpečnostními orgány, což s sebou neslo jak nutnost organizačního vyřešení dostatečného oddělení obou institucí, tak i nutnost projednání veškerých stavebních úprav s ministerstvem vnitra, aby změny nenarušily možnost využití areálu podle stanovisek plánu mimořádných opatření. Zároveň panovaly obavy z přílišného zpřístupnění areálu bývalé věznice veřejnosti, což se z dnešního hlediska může jevit jako v podstatě nepochopitelný argument. V polovině 60. let ale panovaly poněkud odlišné poměry, takže se vše mělo řešit regulací volného vstupu stálou vrátnicí, trvalým denním i nočním dozorem v internátech a omezením návštěv jen do přijímacích místností v budově bývalého soudu. Studenty tak v bývalé věznici čekal velmi přísný režim.</w:t>
      </w:r>
      <w:r w:rsidRPr="00AF25A8">
        <w:rPr>
          <w:rFonts w:ascii="Times New Roman" w:hAnsi="Times New Roman" w:cs="Times New Roman"/>
          <w:sz w:val="24"/>
          <w:vertAlign w:val="superscript"/>
        </w:rPr>
        <w:footnoteReference w:id="13"/>
      </w:r>
    </w:p>
    <w:p w:rsidR="00AF25A8" w:rsidRPr="00AF25A8" w:rsidRDefault="00AF25A8" w:rsidP="00AF25A8">
      <w:pPr>
        <w:spacing w:line="360" w:lineRule="auto"/>
        <w:ind w:firstLine="708"/>
        <w:contextualSpacing/>
        <w:jc w:val="both"/>
        <w:rPr>
          <w:rFonts w:ascii="Times New Roman" w:hAnsi="Times New Roman" w:cs="Times New Roman"/>
          <w:sz w:val="24"/>
        </w:rPr>
      </w:pPr>
      <w:r w:rsidRPr="00AF25A8">
        <w:rPr>
          <w:rFonts w:ascii="Times New Roman" w:hAnsi="Times New Roman" w:cs="Times New Roman"/>
          <w:sz w:val="24"/>
        </w:rPr>
        <w:lastRenderedPageBreak/>
        <w:t>K realizaci analyzovaného plánu nakonec v polovině 60. let došlo jen z části. Snad právě kvůli popsaným komplikacím získala SÚPŠ jen bývalou soudní budovu a objekt věznice se nedočkal žádných významnějších změn. Ty přinesl až plán tehdejší Správy Sboru nápravné výchovy ČSR na zrušení dosavadního skladu v prostorách, které byly roku 1972 shledány jako nevyhovující. Jednalo se tedy spíše o negativní zásah do existence objektu, jehož budoucí využití začalo být více či méně nejisté. K realizaci plánu na vybudování nových prostor ve Skutči ale vedla ještě dlouhá cesta, takže Ústřední sklad SNV fungoval v Uherském Hradišti až července roku 1978.</w:t>
      </w:r>
      <w:r w:rsidRPr="00AF25A8">
        <w:rPr>
          <w:rFonts w:ascii="Times New Roman" w:hAnsi="Times New Roman" w:cs="Times New Roman"/>
          <w:sz w:val="24"/>
          <w:vertAlign w:val="superscript"/>
        </w:rPr>
        <w:footnoteReference w:id="14"/>
      </w:r>
    </w:p>
    <w:p w:rsidR="00AF25A8" w:rsidRPr="00AF25A8" w:rsidRDefault="00AF25A8" w:rsidP="00AF25A8">
      <w:pPr>
        <w:spacing w:line="360" w:lineRule="auto"/>
        <w:ind w:firstLine="708"/>
        <w:contextualSpacing/>
        <w:jc w:val="both"/>
        <w:rPr>
          <w:rFonts w:ascii="Times New Roman" w:hAnsi="Times New Roman" w:cs="Times New Roman"/>
          <w:sz w:val="24"/>
        </w:rPr>
      </w:pPr>
      <w:r w:rsidRPr="00AF25A8">
        <w:rPr>
          <w:rFonts w:ascii="Times New Roman" w:hAnsi="Times New Roman" w:cs="Times New Roman"/>
          <w:sz w:val="24"/>
        </w:rPr>
        <w:t>Dalšího zásadnějšího plánu zabývajícího se osudy věznice se obyvatele Uherského Hradiště dočkali za necelé dva roky. Stalo se tak v únoru 1980, kdy byly plánovány rozsáhlejší úpravy centra města. Vznikla proto „</w:t>
      </w:r>
      <w:r w:rsidRPr="00AF25A8">
        <w:rPr>
          <w:rFonts w:ascii="Times New Roman" w:hAnsi="Times New Roman" w:cs="Times New Roman"/>
          <w:i/>
          <w:sz w:val="24"/>
        </w:rPr>
        <w:t>Konečná studie urbanistického centra Uherského Hradiště</w:t>
      </w:r>
      <w:r w:rsidRPr="00AF25A8">
        <w:rPr>
          <w:rFonts w:ascii="Times New Roman" w:hAnsi="Times New Roman" w:cs="Times New Roman"/>
          <w:sz w:val="24"/>
        </w:rPr>
        <w:t>“ zpracovaná Státním ústavem obchodu v Brně. Z ní posléze vycházel návrh na zřízení Domu služeb právě z objektu bývalé věznice zpracovaný plánovacím odborem Městského národního výboru. Posouzením vhodnosti projektu a jeho dalším rozpracováním se zabýval Stavoprojekt Gottwaldov, konkrétně pak kolektiv vedený akademickým architektem Janem Palackým, který je známý mimo jiné i rekonstrukcí Maměnky na Pustevnách. Vznikla tak rozsáhlá zpráva analyzující vhodnost celého objektu k nastíněnému využití. Ta se také stala zásadním pramenem pro následující pokus o přiblížení toho, jak se měl celý komplex proměnit.</w:t>
      </w:r>
      <w:r w:rsidRPr="00AF25A8">
        <w:rPr>
          <w:rFonts w:ascii="Times New Roman" w:hAnsi="Times New Roman" w:cs="Times New Roman"/>
          <w:sz w:val="24"/>
          <w:vertAlign w:val="superscript"/>
        </w:rPr>
        <w:footnoteReference w:id="15"/>
      </w:r>
    </w:p>
    <w:p w:rsidR="00AF25A8" w:rsidRPr="00AF25A8" w:rsidRDefault="00AF25A8" w:rsidP="00AF25A8">
      <w:pPr>
        <w:spacing w:line="360" w:lineRule="auto"/>
        <w:ind w:firstLine="708"/>
        <w:contextualSpacing/>
        <w:jc w:val="both"/>
        <w:rPr>
          <w:rFonts w:ascii="Times New Roman" w:hAnsi="Times New Roman" w:cs="Times New Roman"/>
          <w:sz w:val="24"/>
        </w:rPr>
      </w:pPr>
      <w:r w:rsidRPr="00AF25A8">
        <w:rPr>
          <w:rFonts w:ascii="Times New Roman" w:hAnsi="Times New Roman" w:cs="Times New Roman"/>
          <w:sz w:val="24"/>
        </w:rPr>
        <w:t>Základním předpokladem ozřejmujícím nutnost změny dosavadního stavu se stalo tvrzení, které vycházelo právě ze zmíněných plánů na proměnu centra města: „</w:t>
      </w:r>
      <w:r w:rsidRPr="00AF25A8">
        <w:rPr>
          <w:rFonts w:ascii="Times New Roman" w:hAnsi="Times New Roman" w:cs="Times New Roman"/>
          <w:i/>
          <w:sz w:val="24"/>
        </w:rPr>
        <w:t>Objekt tvoří svým rozsahem významnou urbanistickou součást středu města, jeho dnešní využití jako sklady neodpovídá potřebám budoucího obchodního centra</w:t>
      </w:r>
      <w:r w:rsidRPr="00AF25A8">
        <w:rPr>
          <w:rFonts w:ascii="Times New Roman" w:hAnsi="Times New Roman" w:cs="Times New Roman"/>
          <w:sz w:val="24"/>
        </w:rPr>
        <w:t>.“</w:t>
      </w:r>
      <w:r w:rsidRPr="00AF25A8">
        <w:rPr>
          <w:rFonts w:ascii="Times New Roman" w:hAnsi="Times New Roman" w:cs="Times New Roman"/>
          <w:sz w:val="24"/>
          <w:vertAlign w:val="superscript"/>
        </w:rPr>
        <w:footnoteReference w:id="16"/>
      </w:r>
      <w:r w:rsidRPr="00AF25A8">
        <w:rPr>
          <w:rFonts w:ascii="Times New Roman" w:hAnsi="Times New Roman" w:cs="Times New Roman"/>
          <w:sz w:val="24"/>
        </w:rPr>
        <w:t xml:space="preserve"> Naproti tomu ale tato poloha, umocněná navíc blízkostí autobusového nádraží, představovala sama o sobě významný argument přímo podporující navrhovaný stavební záměr. Rovněž tak z hlediska statiky byly všechny důležité konstrukční prvky shledány ve vyhovujícím stavu a drobné trhliny v cihlovém zdivu nepředstavovaly závažnější problém.</w:t>
      </w:r>
    </w:p>
    <w:p w:rsidR="00AF25A8" w:rsidRPr="00AF25A8" w:rsidRDefault="00AF25A8" w:rsidP="00AF25A8">
      <w:pPr>
        <w:spacing w:line="360" w:lineRule="auto"/>
        <w:ind w:firstLine="708"/>
        <w:contextualSpacing/>
        <w:jc w:val="both"/>
        <w:rPr>
          <w:rFonts w:ascii="Times New Roman" w:hAnsi="Times New Roman" w:cs="Times New Roman"/>
          <w:sz w:val="24"/>
        </w:rPr>
      </w:pPr>
      <w:r w:rsidRPr="00AF25A8">
        <w:rPr>
          <w:rFonts w:ascii="Times New Roman" w:hAnsi="Times New Roman" w:cs="Times New Roman"/>
          <w:sz w:val="24"/>
        </w:rPr>
        <w:t xml:space="preserve">Uvedené celková zachovalost věznice a dobrá situace z hlediska statiky dovolovala vypracování dvou variant řešení budoucího vzhledu a vnitřního využití, které byly pragmaticky označeny písmeny „A“ a „B“. Nejprve tedy k první z nich. Ta předpokládala, </w:t>
      </w:r>
      <w:r w:rsidRPr="00AF25A8">
        <w:rPr>
          <w:rFonts w:ascii="Times New Roman" w:hAnsi="Times New Roman" w:cs="Times New Roman"/>
          <w:sz w:val="24"/>
        </w:rPr>
        <w:lastRenderedPageBreak/>
        <w:t xml:space="preserve">že areál zůstane bez větších demoličních zásahů s výjimkou objektu nazývaného „Samotky“, což se ovšem týkalo i druhé možnosti rekonstrukce. Hlavní vstup směřoval západně k plánovanému obchodnímu centru, kde se rovněž měly nacházet zastávky MHD. Zásadní změna vzhledu by se dotkla pouze severního průčelí přistavením nového objektu a zřízením odpočinkové areálu se zelení a vodní plochou. Východní křídlo pak čekaly úpravy z hlediska uspořádání interiérů kvůli umístění nutného strojního vybavení. Počítalo se rovněž s výstavbou samostatně stojící jídelny spojené s vlastním komplexem zastřešeným můstkem v prvním patře. Chybět samozřejmě nesměly ani zásobovací výtahy. </w:t>
      </w:r>
    </w:p>
    <w:p w:rsidR="00AF25A8" w:rsidRPr="00AF25A8" w:rsidRDefault="00AF25A8" w:rsidP="00AF25A8">
      <w:pPr>
        <w:spacing w:line="360" w:lineRule="auto"/>
        <w:ind w:firstLine="708"/>
        <w:contextualSpacing/>
        <w:jc w:val="both"/>
        <w:rPr>
          <w:rFonts w:ascii="Times New Roman" w:hAnsi="Times New Roman" w:cs="Times New Roman"/>
          <w:sz w:val="24"/>
        </w:rPr>
      </w:pPr>
      <w:r w:rsidRPr="00AF25A8">
        <w:rPr>
          <w:rFonts w:ascii="Times New Roman" w:hAnsi="Times New Roman" w:cs="Times New Roman"/>
          <w:sz w:val="24"/>
        </w:rPr>
        <w:t>Velkoryse projektované vnitřní uspořádání budovy mělo přinést komplexní řešení služeb pro široké okolí. Na co se tedy obyvatelé města mohli těšit? V přízemí by při realizaci rekonstrukce objektu byla chemická čistírna, prádelna, čištění koberců, rámování, dále pak malířské a natěračské dílny. První patro slibovalo oděvy, kožešnictví, šití přikrývek, provaznictví, opravu deštníků, knihařské služby, elektroprodejnu, cyklistické potřeby a kino. Druhé patro pak bylo vyhrazeno administrativě pro celý okres, archivu, telefonní ústředně a zasedací místnosti.</w:t>
      </w:r>
    </w:p>
    <w:p w:rsidR="00AF25A8" w:rsidRPr="00AF25A8" w:rsidRDefault="00AF25A8" w:rsidP="00AF25A8">
      <w:pPr>
        <w:spacing w:line="360" w:lineRule="auto"/>
        <w:ind w:firstLine="708"/>
        <w:contextualSpacing/>
        <w:jc w:val="both"/>
        <w:rPr>
          <w:rFonts w:ascii="Times New Roman" w:hAnsi="Times New Roman" w:cs="Times New Roman"/>
          <w:sz w:val="24"/>
        </w:rPr>
      </w:pPr>
      <w:r w:rsidRPr="00AF25A8">
        <w:rPr>
          <w:rFonts w:ascii="Times New Roman" w:hAnsi="Times New Roman" w:cs="Times New Roman"/>
          <w:sz w:val="24"/>
        </w:rPr>
        <w:t>Samostatně stojící objekt v Soudní ulici, který tehdy sloužil jako školní družina, měl být doplňujícím zázemím areálu, zahrnujícím energocentrálu společně s dalšími kancelářemi a lékařským střediskem. Se zmíněnou nově postavenou budovou jídelny bylo počítáno v blízkosti autobusového nádraží. Prostor plánovaný pro 100 lidí s kapacitou 500 obědů, který by doplňovalo ještě kadeřnictví v prvním patře, by pravděpodobně patřil k nejvytíženějším a uvedená poloha se proto jevila jako nejvhodnější.</w:t>
      </w:r>
    </w:p>
    <w:p w:rsidR="00AF25A8" w:rsidRPr="00AF25A8" w:rsidRDefault="00AF25A8" w:rsidP="00AF25A8">
      <w:pPr>
        <w:spacing w:line="360" w:lineRule="auto"/>
        <w:ind w:firstLine="708"/>
        <w:contextualSpacing/>
        <w:jc w:val="both"/>
        <w:rPr>
          <w:rFonts w:ascii="Times New Roman" w:hAnsi="Times New Roman" w:cs="Times New Roman"/>
          <w:sz w:val="24"/>
        </w:rPr>
      </w:pPr>
      <w:r w:rsidRPr="00AF25A8">
        <w:rPr>
          <w:rFonts w:ascii="Times New Roman" w:hAnsi="Times New Roman" w:cs="Times New Roman"/>
          <w:sz w:val="24"/>
        </w:rPr>
        <w:t>Naproti tomu varianta „B“ zahrnovala výrazné stavební zásahy do vzhledu objektu. Počítala totiž s novou zástavbou na severní a západní straně areálu, jejíž součástí by byla i demolice přesahujících křídel východního a západního průčelí, společně se samostatných objektem stojícím směrem k náměstí Palackého. Vnitřní uspořádání hlavní budovy a novostavby jídelny by se pak nelišilo od první popsané možnosti rekonstrukce.  Jak je vidět, oba návrhy představovaly snahy o smysluplné využití postupně chátrajícího areálu, které by mohly přinést užitek obyvatelům města i širokého okolí. Z dostupných archiválií však nevyplývá, proč k realizaci nakonec nedošlo, pročež se lze jen domnívat, že hlavním důvodem se stal nedostatek finančních prostředků hlavního investora, jímž se měl stát ONV v Uherském Hradišti.</w:t>
      </w:r>
      <w:r w:rsidRPr="00AF25A8">
        <w:rPr>
          <w:rFonts w:ascii="Times New Roman" w:hAnsi="Times New Roman" w:cs="Times New Roman"/>
          <w:sz w:val="24"/>
          <w:vertAlign w:val="superscript"/>
        </w:rPr>
        <w:footnoteReference w:id="17"/>
      </w:r>
    </w:p>
    <w:p w:rsidR="00AF25A8" w:rsidRPr="00AF25A8" w:rsidRDefault="00AF25A8" w:rsidP="00AF25A8">
      <w:pPr>
        <w:spacing w:line="360" w:lineRule="auto"/>
        <w:ind w:firstLine="708"/>
        <w:contextualSpacing/>
        <w:jc w:val="both"/>
        <w:rPr>
          <w:rFonts w:ascii="Times New Roman" w:hAnsi="Times New Roman" w:cs="Times New Roman"/>
          <w:sz w:val="24"/>
        </w:rPr>
      </w:pPr>
      <w:r w:rsidRPr="00AF25A8">
        <w:rPr>
          <w:rFonts w:ascii="Times New Roman" w:hAnsi="Times New Roman" w:cs="Times New Roman"/>
          <w:sz w:val="24"/>
        </w:rPr>
        <w:lastRenderedPageBreak/>
        <w:t>Jednání, k nimž došlo v roce 1981, tedy nakonec nepřinesla žádný zásadní výsledek. Zanedlouho se však objevila další možnost, jak bývalý vězeňský areál využít ve prospěch široké veřejnosti. V polovině 80. let 20. st. se dalším zájemcem o objekt stal Okresní ústav národního zdraví v Uherském Hradišti. Účel, jemuž by v budoucnu sloužil, je tak zřejmý, měla v něm být zřízena rozsáhlá nemocnice. Posouzení vhodnosti budovy a jejího stavu opět připadlo výše jmenovanému akademickému architektovi J. Palackému. Podle jeho slov celý komplex splňoval všechna potřebná kritéria, mezi něž patřil ještě stále přetrvávající dobrý technický stav, dostatečně pevné zdi a stropy vyhovující umístění potřebného lékařského vybavení a v neposlední řadě i příznivá poloha v blízkosti autobusového nádraží, což zvyšovalo komfort dopravy pacientů.</w:t>
      </w:r>
      <w:r w:rsidRPr="00AF25A8">
        <w:rPr>
          <w:rFonts w:ascii="Times New Roman" w:hAnsi="Times New Roman" w:cs="Times New Roman"/>
          <w:sz w:val="24"/>
          <w:vertAlign w:val="superscript"/>
        </w:rPr>
        <w:footnoteReference w:id="18"/>
      </w:r>
      <w:r w:rsidRPr="00AF25A8">
        <w:rPr>
          <w:rFonts w:ascii="Times New Roman" w:hAnsi="Times New Roman" w:cs="Times New Roman"/>
          <w:sz w:val="24"/>
        </w:rPr>
        <w:t xml:space="preserve"> Avšak ani tento plán nakonec nebyl uveden v život. Jisté ale je, že namísto plánovaného zdravotnického zařízení sloužil v druhé polovině 80. let 20. století jako dočasný depot části fondů okresního archivu, pro jehož účely v té době rekonstruovali bývalý františkánský klášter.</w:t>
      </w:r>
      <w:r w:rsidRPr="00AF25A8">
        <w:rPr>
          <w:rFonts w:ascii="Times New Roman" w:hAnsi="Times New Roman" w:cs="Times New Roman"/>
          <w:sz w:val="24"/>
          <w:vertAlign w:val="superscript"/>
        </w:rPr>
        <w:footnoteReference w:id="19"/>
      </w:r>
    </w:p>
    <w:p w:rsidR="00AF25A8" w:rsidRPr="00AF25A8" w:rsidRDefault="00AF25A8" w:rsidP="00AF25A8">
      <w:pPr>
        <w:spacing w:line="360" w:lineRule="auto"/>
        <w:ind w:firstLine="708"/>
        <w:contextualSpacing/>
        <w:jc w:val="both"/>
        <w:rPr>
          <w:rFonts w:ascii="Times New Roman" w:hAnsi="Times New Roman" w:cs="Times New Roman"/>
          <w:sz w:val="24"/>
        </w:rPr>
      </w:pPr>
      <w:r w:rsidRPr="00AF25A8">
        <w:rPr>
          <w:rFonts w:ascii="Times New Roman" w:hAnsi="Times New Roman" w:cs="Times New Roman"/>
          <w:sz w:val="24"/>
        </w:rPr>
        <w:t>Mimo vymezený tematický okruh se již nacházejí události navazující po roce 1989. Budou proto na závěr zmíněny jen okrajově. Tehdy došlo v rámci přípravy nové koncepce českého vězeňství ke snaze o znovuzřízení ústavu sloužícího jako vazební věznice. Avšak po rozsáhlých jednáních nebyl tento úmysl realizován, což může být z dnešního hlediska nahlíženo dvěma způsoby. Jednak se nabízí úvaha směřující k tomu, že pokud se budova proslulá týráním uvězněných, znovu neproměnila ve veřejnosti uzavřený areál, může v současnosti sloužit jako pietní prostor věnovaný uctění památky obětí obou totalit. Za druhé ale nelze opomenout to, že v případě opětovného využití ke svému původnímu účelu by pravděpodobně skýtala řadu pracovních příležitostí pro přilehlý region, což dnes nelze zcela opomíjet.</w:t>
      </w:r>
    </w:p>
    <w:p w:rsidR="00AF25A8" w:rsidRPr="00AF25A8" w:rsidRDefault="00AF25A8" w:rsidP="00AF25A8">
      <w:pPr>
        <w:spacing w:line="360" w:lineRule="auto"/>
        <w:contextualSpacing/>
        <w:jc w:val="both"/>
        <w:rPr>
          <w:rFonts w:ascii="Times New Roman" w:hAnsi="Times New Roman" w:cs="Times New Roman"/>
          <w:b/>
          <w:sz w:val="24"/>
        </w:rPr>
      </w:pPr>
    </w:p>
    <w:p w:rsidR="00AF25A8" w:rsidRPr="00AF25A8" w:rsidRDefault="00AF25A8" w:rsidP="00AF25A8">
      <w:pPr>
        <w:spacing w:line="360" w:lineRule="auto"/>
        <w:contextualSpacing/>
        <w:rPr>
          <w:rFonts w:ascii="Times New Roman" w:hAnsi="Times New Roman" w:cs="Times New Roman"/>
          <w:b/>
          <w:sz w:val="24"/>
        </w:rPr>
      </w:pPr>
      <w:r w:rsidRPr="00AF25A8">
        <w:rPr>
          <w:rFonts w:ascii="Times New Roman" w:hAnsi="Times New Roman" w:cs="Times New Roman"/>
          <w:b/>
          <w:sz w:val="24"/>
        </w:rPr>
        <w:t>Anotace</w:t>
      </w:r>
    </w:p>
    <w:p w:rsidR="00AF25A8" w:rsidRPr="00AF25A8" w:rsidRDefault="00AF25A8" w:rsidP="00AF25A8">
      <w:pPr>
        <w:spacing w:line="360" w:lineRule="auto"/>
        <w:contextualSpacing/>
        <w:jc w:val="both"/>
        <w:rPr>
          <w:rFonts w:ascii="Times New Roman" w:hAnsi="Times New Roman" w:cs="Times New Roman"/>
          <w:sz w:val="24"/>
        </w:rPr>
      </w:pPr>
      <w:r w:rsidRPr="00AF25A8">
        <w:rPr>
          <w:rFonts w:ascii="Times New Roman" w:hAnsi="Times New Roman" w:cs="Times New Roman"/>
          <w:sz w:val="24"/>
        </w:rPr>
        <w:tab/>
        <w:t>Nejedno vězeňské zařízení sloužilo svému účelu jen po určitý čas, byť se mohlo jednat i o několik století. Jedním z nich byla i krajská soudní věznice v Uherském Hradiště, jejíž činnost byla ukončena v rámci územněsprávních reforem na počátku 60. let 20. století. Úkolem předkládaného příspěvku je ukázat, jaké návrhy a plány na další využití objektu přineslo názvem studie vymezené časové rozmezí</w:t>
      </w:r>
    </w:p>
    <w:p w:rsidR="00AF25A8" w:rsidRPr="00AF25A8" w:rsidRDefault="00AF25A8" w:rsidP="00AF25A8">
      <w:pPr>
        <w:spacing w:line="360" w:lineRule="auto"/>
        <w:contextualSpacing/>
        <w:jc w:val="center"/>
        <w:rPr>
          <w:rFonts w:ascii="Times New Roman" w:hAnsi="Times New Roman" w:cs="Times New Roman"/>
          <w:b/>
          <w:sz w:val="24"/>
        </w:rPr>
      </w:pPr>
    </w:p>
    <w:p w:rsidR="00AF25A8" w:rsidRPr="00AF25A8" w:rsidRDefault="00AF25A8" w:rsidP="00AF25A8">
      <w:pPr>
        <w:spacing w:line="360" w:lineRule="auto"/>
        <w:contextualSpacing/>
        <w:jc w:val="both"/>
        <w:rPr>
          <w:rFonts w:ascii="Times New Roman" w:hAnsi="Times New Roman" w:cs="Times New Roman"/>
          <w:b/>
          <w:sz w:val="24"/>
        </w:rPr>
      </w:pPr>
    </w:p>
    <w:p w:rsidR="00AF25A8" w:rsidRPr="00AF25A8" w:rsidRDefault="00AF25A8" w:rsidP="00AF25A8">
      <w:pPr>
        <w:spacing w:line="360" w:lineRule="auto"/>
        <w:contextualSpacing/>
        <w:jc w:val="both"/>
        <w:rPr>
          <w:rFonts w:ascii="Times New Roman" w:hAnsi="Times New Roman" w:cs="Times New Roman"/>
          <w:b/>
          <w:sz w:val="24"/>
        </w:rPr>
      </w:pPr>
    </w:p>
    <w:p w:rsidR="00AF25A8" w:rsidRPr="00AF25A8" w:rsidRDefault="00AF25A8" w:rsidP="00AF25A8">
      <w:pPr>
        <w:spacing w:line="360" w:lineRule="auto"/>
        <w:contextualSpacing/>
        <w:jc w:val="both"/>
        <w:rPr>
          <w:rFonts w:ascii="Times New Roman" w:hAnsi="Times New Roman" w:cs="Times New Roman"/>
          <w:b/>
          <w:sz w:val="24"/>
        </w:rPr>
      </w:pPr>
      <w:r w:rsidRPr="00AF25A8">
        <w:rPr>
          <w:rFonts w:ascii="Times New Roman" w:hAnsi="Times New Roman" w:cs="Times New Roman"/>
          <w:b/>
          <w:sz w:val="24"/>
        </w:rPr>
        <w:t>Použité prameny a literatura</w:t>
      </w:r>
    </w:p>
    <w:p w:rsidR="00AF25A8" w:rsidRPr="00AF25A8" w:rsidRDefault="00AF25A8" w:rsidP="00AF25A8">
      <w:pPr>
        <w:spacing w:line="360" w:lineRule="auto"/>
        <w:contextualSpacing/>
        <w:jc w:val="both"/>
        <w:rPr>
          <w:rFonts w:ascii="Palatino Linotype" w:hAnsi="Palatino Linotype"/>
          <w:sz w:val="24"/>
        </w:rPr>
      </w:pPr>
    </w:p>
    <w:p w:rsidR="00AF25A8" w:rsidRPr="00AF25A8" w:rsidRDefault="00AF25A8" w:rsidP="00AF25A8">
      <w:pPr>
        <w:spacing w:line="360" w:lineRule="auto"/>
        <w:contextualSpacing/>
        <w:jc w:val="both"/>
        <w:rPr>
          <w:rFonts w:ascii="Palatino Linotype" w:hAnsi="Palatino Linotype"/>
          <w:sz w:val="24"/>
        </w:rPr>
      </w:pPr>
      <w:r w:rsidRPr="00AF25A8">
        <w:rPr>
          <w:rFonts w:ascii="Palatino Linotype" w:hAnsi="Palatino Linotype"/>
          <w:sz w:val="24"/>
        </w:rPr>
        <w:t>Státní okresní archiv Uherské Hradiště, f. ONV Uherské Hradiště:</w:t>
      </w:r>
    </w:p>
    <w:p w:rsidR="00AF25A8" w:rsidRPr="00AF25A8" w:rsidRDefault="00AF25A8" w:rsidP="00AF25A8">
      <w:pPr>
        <w:numPr>
          <w:ilvl w:val="0"/>
          <w:numId w:val="1"/>
        </w:numPr>
        <w:spacing w:line="360" w:lineRule="auto"/>
        <w:contextualSpacing/>
        <w:jc w:val="both"/>
        <w:rPr>
          <w:rFonts w:ascii="Palatino Linotype" w:hAnsi="Palatino Linotype"/>
          <w:sz w:val="24"/>
        </w:rPr>
      </w:pPr>
      <w:r w:rsidRPr="00AF25A8">
        <w:rPr>
          <w:rFonts w:ascii="Palatino Linotype" w:hAnsi="Palatino Linotype"/>
          <w:sz w:val="24"/>
        </w:rPr>
        <w:t>inv. č. 1153, kart. 2087.</w:t>
      </w:r>
    </w:p>
    <w:p w:rsidR="00AF25A8" w:rsidRPr="00AF25A8" w:rsidRDefault="00AF25A8" w:rsidP="00AF25A8">
      <w:pPr>
        <w:numPr>
          <w:ilvl w:val="0"/>
          <w:numId w:val="1"/>
        </w:numPr>
        <w:spacing w:line="360" w:lineRule="auto"/>
        <w:contextualSpacing/>
        <w:jc w:val="both"/>
        <w:rPr>
          <w:rFonts w:ascii="Palatino Linotype" w:hAnsi="Palatino Linotype"/>
          <w:sz w:val="24"/>
        </w:rPr>
      </w:pPr>
      <w:r w:rsidRPr="00AF25A8">
        <w:rPr>
          <w:rFonts w:ascii="Palatino Linotype" w:hAnsi="Palatino Linotype"/>
          <w:sz w:val="24"/>
        </w:rPr>
        <w:t>inv. č. 795, kart. 1186.</w:t>
      </w:r>
    </w:p>
    <w:p w:rsidR="00AF25A8" w:rsidRPr="00AF25A8" w:rsidRDefault="00AF25A8" w:rsidP="00AF25A8">
      <w:pPr>
        <w:spacing w:line="360" w:lineRule="auto"/>
        <w:contextualSpacing/>
        <w:jc w:val="both"/>
        <w:rPr>
          <w:rFonts w:ascii="Palatino Linotype" w:hAnsi="Palatino Linotype"/>
          <w:sz w:val="24"/>
        </w:rPr>
      </w:pPr>
      <w:r w:rsidRPr="00AF25A8">
        <w:rPr>
          <w:rFonts w:ascii="Palatino Linotype" w:hAnsi="Palatino Linotype"/>
          <w:sz w:val="24"/>
        </w:rPr>
        <w:t>Rozhovor s akad. arch. Janem Palackým, 26. 3. 2013.</w:t>
      </w:r>
    </w:p>
    <w:p w:rsidR="00AF25A8" w:rsidRPr="00AF25A8" w:rsidRDefault="00AF25A8" w:rsidP="00AF25A8">
      <w:pPr>
        <w:spacing w:line="360" w:lineRule="auto"/>
        <w:contextualSpacing/>
        <w:jc w:val="both"/>
        <w:rPr>
          <w:rFonts w:ascii="Palatino Linotype" w:hAnsi="Palatino Linotype"/>
          <w:sz w:val="24"/>
        </w:rPr>
      </w:pPr>
    </w:p>
    <w:p w:rsidR="00AF25A8" w:rsidRPr="00AF25A8" w:rsidRDefault="00AF25A8" w:rsidP="00AF25A8">
      <w:pPr>
        <w:spacing w:line="360" w:lineRule="auto"/>
        <w:contextualSpacing/>
        <w:jc w:val="both"/>
        <w:rPr>
          <w:rFonts w:ascii="Palatino Linotype" w:hAnsi="Palatino Linotype"/>
          <w:sz w:val="24"/>
        </w:rPr>
      </w:pPr>
      <w:r w:rsidRPr="00AF25A8">
        <w:rPr>
          <w:rFonts w:ascii="Palatino Linotype" w:hAnsi="Palatino Linotype"/>
          <w:sz w:val="24"/>
        </w:rPr>
        <w:t>Digitální repozitář Poslanecké sněmovny Parlamentu ČR, Národní shromáždění republiky Československé, stenoprotokol 33. schůze z 9. 7. 1959 [online], Html. ed., http://www.psp.cz/eknih/1954ns/stenprot/033schuz/s033028.htm</w:t>
      </w:r>
    </w:p>
    <w:p w:rsidR="00AF25A8" w:rsidRPr="00AF25A8" w:rsidRDefault="00AF25A8" w:rsidP="00AF25A8">
      <w:pPr>
        <w:spacing w:line="360" w:lineRule="auto"/>
        <w:contextualSpacing/>
        <w:jc w:val="both"/>
        <w:rPr>
          <w:rFonts w:ascii="Palatino Linotype" w:hAnsi="Palatino Linotype"/>
          <w:sz w:val="24"/>
        </w:rPr>
      </w:pPr>
    </w:p>
    <w:p w:rsidR="00AF25A8" w:rsidRPr="00AF25A8" w:rsidRDefault="00AF25A8" w:rsidP="00AF25A8">
      <w:pPr>
        <w:spacing w:line="360" w:lineRule="auto"/>
        <w:contextualSpacing/>
        <w:jc w:val="both"/>
        <w:rPr>
          <w:rFonts w:ascii="Palatino Linotype" w:hAnsi="Palatino Linotype"/>
          <w:sz w:val="24"/>
        </w:rPr>
      </w:pPr>
      <w:r w:rsidRPr="00AF25A8">
        <w:rPr>
          <w:rFonts w:ascii="Palatino Linotype" w:hAnsi="Palatino Linotype"/>
          <w:sz w:val="24"/>
        </w:rPr>
        <w:t xml:space="preserve">ČOUPEK, J. </w:t>
      </w:r>
      <w:r w:rsidRPr="00AF25A8">
        <w:rPr>
          <w:rFonts w:ascii="Palatino Linotype" w:hAnsi="Palatino Linotype"/>
          <w:i/>
          <w:sz w:val="24"/>
        </w:rPr>
        <w:t>50. let Státního okresního archivu v Uherském Hradišti</w:t>
      </w:r>
      <w:r w:rsidRPr="00AF25A8">
        <w:rPr>
          <w:rFonts w:ascii="Palatino Linotype" w:hAnsi="Palatino Linotype"/>
          <w:sz w:val="24"/>
        </w:rPr>
        <w:t>. Uherské Hradiště 1997.</w:t>
      </w:r>
    </w:p>
    <w:p w:rsidR="00AF25A8" w:rsidRPr="00AF25A8" w:rsidRDefault="00AF25A8" w:rsidP="00AF25A8">
      <w:pPr>
        <w:spacing w:line="360" w:lineRule="auto"/>
        <w:contextualSpacing/>
        <w:jc w:val="both"/>
        <w:rPr>
          <w:rFonts w:ascii="Palatino Linotype" w:hAnsi="Palatino Linotype"/>
          <w:i/>
          <w:sz w:val="24"/>
        </w:rPr>
      </w:pPr>
      <w:r w:rsidRPr="00AF25A8">
        <w:rPr>
          <w:rFonts w:ascii="Palatino Linotype" w:hAnsi="Palatino Linotype"/>
          <w:sz w:val="24"/>
        </w:rPr>
        <w:t xml:space="preserve">PURDEŠ, V. </w:t>
      </w:r>
      <w:r w:rsidRPr="00AF25A8">
        <w:rPr>
          <w:rFonts w:ascii="Palatino Linotype" w:hAnsi="Palatino Linotype"/>
          <w:i/>
          <w:sz w:val="24"/>
        </w:rPr>
        <w:t>Skuteč</w:t>
      </w:r>
      <w:r w:rsidRPr="00AF25A8">
        <w:rPr>
          <w:rFonts w:ascii="Palatino Linotype" w:hAnsi="Palatino Linotype"/>
          <w:sz w:val="24"/>
        </w:rPr>
        <w:t>. Zpravodaj SNV ČSR, říjen 1978.</w:t>
      </w:r>
    </w:p>
    <w:p w:rsidR="00AF25A8" w:rsidRPr="00AF25A8" w:rsidRDefault="00AF25A8" w:rsidP="00AF25A8">
      <w:pPr>
        <w:spacing w:line="360" w:lineRule="auto"/>
        <w:contextualSpacing/>
        <w:jc w:val="both"/>
        <w:rPr>
          <w:rFonts w:ascii="Palatino Linotype" w:hAnsi="Palatino Linotype"/>
          <w:sz w:val="24"/>
        </w:rPr>
      </w:pPr>
      <w:r w:rsidRPr="00AF25A8">
        <w:rPr>
          <w:rFonts w:ascii="Palatino Linotype" w:hAnsi="Palatino Linotype"/>
          <w:i/>
          <w:sz w:val="24"/>
        </w:rPr>
        <w:t>Sám voják v poli</w:t>
      </w:r>
      <w:r w:rsidRPr="00AF25A8">
        <w:rPr>
          <w:rFonts w:ascii="Palatino Linotype" w:hAnsi="Palatino Linotype"/>
          <w:sz w:val="24"/>
        </w:rPr>
        <w:t>. Bezpečnost, č. 4, roč. 29/1975.</w:t>
      </w:r>
    </w:p>
    <w:p w:rsidR="00AF25A8" w:rsidRPr="00AF25A8" w:rsidRDefault="00AF25A8" w:rsidP="00AF25A8">
      <w:pPr>
        <w:spacing w:line="360" w:lineRule="auto"/>
        <w:contextualSpacing/>
        <w:jc w:val="both"/>
        <w:rPr>
          <w:rFonts w:ascii="Palatino Linotype" w:hAnsi="Palatino Linotype"/>
          <w:sz w:val="24"/>
        </w:rPr>
      </w:pPr>
    </w:p>
    <w:p w:rsidR="00AF25A8" w:rsidRPr="00AF25A8" w:rsidRDefault="00AF25A8" w:rsidP="00AF25A8">
      <w:pPr>
        <w:spacing w:line="360" w:lineRule="auto"/>
        <w:contextualSpacing/>
        <w:jc w:val="both"/>
        <w:rPr>
          <w:rFonts w:ascii="Palatino Linotype" w:hAnsi="Palatino Linotype"/>
          <w:sz w:val="24"/>
        </w:rPr>
      </w:pPr>
      <w:r w:rsidRPr="00AF25A8">
        <w:rPr>
          <w:rFonts w:ascii="Palatino Linotype" w:hAnsi="Palatino Linotype"/>
          <w:sz w:val="24"/>
        </w:rPr>
        <w:t>Zák. č. 41/1960 Sb. o sídlech a obvodech lidových soudů a sídlech o obvodech krajských soudů.</w:t>
      </w:r>
    </w:p>
    <w:p w:rsidR="00AF25A8" w:rsidRPr="00AF25A8" w:rsidRDefault="00AF25A8" w:rsidP="00AF25A8">
      <w:pPr>
        <w:spacing w:line="360" w:lineRule="auto"/>
        <w:contextualSpacing/>
        <w:jc w:val="both"/>
        <w:rPr>
          <w:rFonts w:ascii="Times New Roman" w:hAnsi="Times New Roman" w:cs="Times New Roman"/>
          <w:b/>
          <w:sz w:val="24"/>
        </w:rPr>
      </w:pPr>
      <w:r w:rsidRPr="00AF25A8">
        <w:rPr>
          <w:rFonts w:ascii="Palatino Linotype" w:hAnsi="Palatino Linotype"/>
          <w:sz w:val="24"/>
        </w:rPr>
        <w:t>Zák. č. 52/1959 Sb. o osvětové činnosti.</w:t>
      </w:r>
    </w:p>
    <w:p w:rsidR="00AF25A8" w:rsidRPr="00AF25A8" w:rsidRDefault="00AF25A8" w:rsidP="00AF25A8">
      <w:pPr>
        <w:spacing w:line="360" w:lineRule="auto"/>
        <w:ind w:firstLine="708"/>
        <w:contextualSpacing/>
        <w:jc w:val="both"/>
        <w:rPr>
          <w:rFonts w:ascii="Times New Roman" w:hAnsi="Times New Roman" w:cs="Times New Roman"/>
          <w:sz w:val="24"/>
        </w:rPr>
      </w:pPr>
    </w:p>
    <w:p w:rsidR="00AF25A8" w:rsidRPr="00AF25A8" w:rsidRDefault="00AF25A8" w:rsidP="00AF25A8">
      <w:pPr>
        <w:spacing w:line="360" w:lineRule="auto"/>
        <w:ind w:firstLine="708"/>
        <w:contextualSpacing/>
        <w:jc w:val="both"/>
        <w:rPr>
          <w:rFonts w:ascii="Times New Roman" w:hAnsi="Times New Roman" w:cs="Times New Roman"/>
          <w:sz w:val="24"/>
        </w:rPr>
      </w:pPr>
      <w:r w:rsidRPr="00AF25A8">
        <w:rPr>
          <w:rFonts w:ascii="Times New Roman" w:hAnsi="Times New Roman" w:cs="Times New Roman"/>
          <w:sz w:val="24"/>
        </w:rPr>
        <w:t xml:space="preserve"> </w:t>
      </w:r>
    </w:p>
    <w:p w:rsidR="00D662E3" w:rsidRDefault="00D662E3">
      <w:bookmarkStart w:id="0" w:name="_GoBack"/>
      <w:bookmarkEnd w:id="0"/>
    </w:p>
    <w:sectPr w:rsidR="00D662E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921" w:rsidRDefault="00747921" w:rsidP="00AF25A8">
      <w:pPr>
        <w:spacing w:after="0" w:line="240" w:lineRule="auto"/>
      </w:pPr>
      <w:r>
        <w:separator/>
      </w:r>
    </w:p>
  </w:endnote>
  <w:endnote w:type="continuationSeparator" w:id="0">
    <w:p w:rsidR="00747921" w:rsidRDefault="00747921" w:rsidP="00AF2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3775118"/>
      <w:docPartObj>
        <w:docPartGallery w:val="Page Numbers (Bottom of Page)"/>
        <w:docPartUnique/>
      </w:docPartObj>
    </w:sdtPr>
    <w:sdtEndPr>
      <w:rPr>
        <w:sz w:val="20"/>
        <w:szCs w:val="20"/>
      </w:rPr>
    </w:sdtEndPr>
    <w:sdtContent>
      <w:p w:rsidR="003E4C87" w:rsidRPr="003E4C87" w:rsidRDefault="00747921">
        <w:pPr>
          <w:pStyle w:val="Zpat"/>
          <w:jc w:val="center"/>
          <w:rPr>
            <w:sz w:val="20"/>
            <w:szCs w:val="20"/>
          </w:rPr>
        </w:pPr>
        <w:r w:rsidRPr="003E4C87">
          <w:rPr>
            <w:sz w:val="20"/>
            <w:szCs w:val="20"/>
          </w:rPr>
          <w:fldChar w:fldCharType="begin"/>
        </w:r>
        <w:r w:rsidRPr="003E4C87">
          <w:rPr>
            <w:sz w:val="20"/>
            <w:szCs w:val="20"/>
          </w:rPr>
          <w:instrText>PAGE   \* MERGEFORMAT</w:instrText>
        </w:r>
        <w:r w:rsidRPr="003E4C87">
          <w:rPr>
            <w:sz w:val="20"/>
            <w:szCs w:val="20"/>
          </w:rPr>
          <w:fldChar w:fldCharType="separate"/>
        </w:r>
        <w:r w:rsidR="00AF25A8">
          <w:rPr>
            <w:noProof/>
            <w:sz w:val="20"/>
            <w:szCs w:val="20"/>
          </w:rPr>
          <w:t>8</w:t>
        </w:r>
        <w:r w:rsidRPr="003E4C87">
          <w:rPr>
            <w:sz w:val="20"/>
            <w:szCs w:val="20"/>
          </w:rPr>
          <w:fldChar w:fldCharType="end"/>
        </w:r>
      </w:p>
    </w:sdtContent>
  </w:sdt>
  <w:p w:rsidR="003E4C87" w:rsidRDefault="0074792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921" w:rsidRDefault="00747921" w:rsidP="00AF25A8">
      <w:pPr>
        <w:spacing w:after="0" w:line="240" w:lineRule="auto"/>
      </w:pPr>
      <w:r>
        <w:separator/>
      </w:r>
    </w:p>
  </w:footnote>
  <w:footnote w:type="continuationSeparator" w:id="0">
    <w:p w:rsidR="00747921" w:rsidRDefault="00747921" w:rsidP="00AF25A8">
      <w:pPr>
        <w:spacing w:after="0" w:line="240" w:lineRule="auto"/>
      </w:pPr>
      <w:r>
        <w:continuationSeparator/>
      </w:r>
    </w:p>
  </w:footnote>
  <w:footnote w:id="1">
    <w:p w:rsidR="00AF25A8" w:rsidRPr="00217D41" w:rsidRDefault="00AF25A8" w:rsidP="00AF25A8">
      <w:pPr>
        <w:pStyle w:val="Textpoznpodarou"/>
        <w:ind w:firstLine="0"/>
      </w:pPr>
      <w:r>
        <w:rPr>
          <w:rStyle w:val="Znakapoznpodarou"/>
        </w:rPr>
        <w:footnoteRef/>
      </w:r>
      <w:r>
        <w:t xml:space="preserve"> K historii loketské věznice blíže: HLADÍK, O. </w:t>
      </w:r>
      <w:r>
        <w:rPr>
          <w:i/>
        </w:rPr>
        <w:t>Loketská věznice, středověký hrad ve službách justice</w:t>
      </w:r>
      <w:r>
        <w:t>. Historická penologie 3/2011, s. 1-14.</w:t>
      </w:r>
    </w:p>
  </w:footnote>
  <w:footnote w:id="2">
    <w:p w:rsidR="00AF25A8" w:rsidRDefault="00AF25A8" w:rsidP="00AF25A8">
      <w:pPr>
        <w:pStyle w:val="Textpoznpodarou"/>
        <w:ind w:firstLine="0"/>
      </w:pPr>
      <w:r>
        <w:rPr>
          <w:rStyle w:val="Znakapoznpodarou"/>
        </w:rPr>
        <w:footnoteRef/>
      </w:r>
      <w:r>
        <w:t xml:space="preserve"> Stejně bezútěšně působí například i chátrající krajská soudní věznice v Mladé Boleslavi, která je rovněž součástí jen zčásti využívaného rozsáhlejšího justičního komplexu.</w:t>
      </w:r>
    </w:p>
  </w:footnote>
  <w:footnote w:id="3">
    <w:p w:rsidR="00AF25A8" w:rsidRDefault="00AF25A8" w:rsidP="00AF25A8">
      <w:pPr>
        <w:pStyle w:val="Textpoznpodarou"/>
        <w:ind w:firstLine="0"/>
      </w:pPr>
      <w:r>
        <w:rPr>
          <w:rStyle w:val="Znakapoznpodarou"/>
        </w:rPr>
        <w:footnoteRef/>
      </w:r>
      <w:r>
        <w:t xml:space="preserve"> Zák. č. 41/1960 Sb. o sídlech a obvodech lidových soudů a sídlech o obvodech krajských soudů k tomu v § 1 uvádí následující: „…</w:t>
      </w:r>
      <w:r>
        <w:rPr>
          <w:i/>
        </w:rPr>
        <w:t>sídla a obvody krajských soudů se shodují se sídly krajských národních výborů stanovenými podle zákona ze dne 9. dubna 1960 č. 36 Sb. o územním členění státu.</w:t>
      </w:r>
      <w:r>
        <w:t>“</w:t>
      </w:r>
      <w:r>
        <w:rPr>
          <w:i/>
        </w:rPr>
        <w:t xml:space="preserve"> </w:t>
      </w:r>
      <w:r>
        <w:t xml:space="preserve"> </w:t>
      </w:r>
    </w:p>
  </w:footnote>
  <w:footnote w:id="4">
    <w:p w:rsidR="00AF25A8" w:rsidRDefault="00AF25A8" w:rsidP="00AF25A8">
      <w:pPr>
        <w:pStyle w:val="Textpoznpodarou"/>
        <w:ind w:firstLine="0"/>
      </w:pPr>
      <w:r>
        <w:rPr>
          <w:rStyle w:val="Znakapoznpodarou"/>
        </w:rPr>
        <w:footnoteRef/>
      </w:r>
      <w:r>
        <w:t xml:space="preserve"> Státní okresní archiv Uherské Hradiště (SOkA Uherské Hradiště), f. ONV Uherské Hradiště, inv. č. 1153, kart. 2087, návrh na využití objektu věznice a soudu z 19. 3. 1964. </w:t>
      </w:r>
    </w:p>
  </w:footnote>
  <w:footnote w:id="5">
    <w:p w:rsidR="00AF25A8" w:rsidRPr="006C3456" w:rsidRDefault="00AF25A8" w:rsidP="00AF25A8">
      <w:pPr>
        <w:pStyle w:val="Textpoznpodarou"/>
        <w:ind w:firstLine="0"/>
      </w:pPr>
      <w:r>
        <w:rPr>
          <w:rStyle w:val="Znakapoznpodarou"/>
        </w:rPr>
        <w:footnoteRef/>
      </w:r>
      <w:r>
        <w:t xml:space="preserve"> </w:t>
      </w:r>
      <w:r>
        <w:rPr>
          <w:i/>
        </w:rPr>
        <w:t>Sám voják v poli</w:t>
      </w:r>
      <w:r>
        <w:t>. Bezpečnost, č. 4, roč. 29/1975, s. 6.</w:t>
      </w:r>
    </w:p>
  </w:footnote>
  <w:footnote w:id="6">
    <w:p w:rsidR="00AF25A8" w:rsidRDefault="00AF25A8" w:rsidP="00AF25A8">
      <w:pPr>
        <w:pStyle w:val="Textpoznpodarou"/>
        <w:ind w:firstLine="0"/>
      </w:pPr>
      <w:r>
        <w:rPr>
          <w:rStyle w:val="Znakapoznpodarou"/>
        </w:rPr>
        <w:footnoteRef/>
      </w:r>
      <w:r>
        <w:t xml:space="preserve"> Tamtéž.</w:t>
      </w:r>
    </w:p>
  </w:footnote>
  <w:footnote w:id="7">
    <w:p w:rsidR="00AF25A8" w:rsidRDefault="00AF25A8" w:rsidP="00AF25A8">
      <w:pPr>
        <w:pStyle w:val="Textpoznpodarou"/>
        <w:ind w:firstLine="0"/>
      </w:pPr>
      <w:r>
        <w:rPr>
          <w:rStyle w:val="Znakapoznpodarou"/>
        </w:rPr>
        <w:footnoteRef/>
      </w:r>
      <w:r>
        <w:t xml:space="preserve"> Zák. č. 52/1959 Sb. o osvětové činnosti, § 8, odst. 1 a 2.</w:t>
      </w:r>
    </w:p>
  </w:footnote>
  <w:footnote w:id="8">
    <w:p w:rsidR="00AF25A8" w:rsidRDefault="00AF25A8" w:rsidP="00AF25A8">
      <w:pPr>
        <w:pStyle w:val="Textpoznpodarou"/>
        <w:ind w:firstLine="0"/>
      </w:pPr>
      <w:r>
        <w:rPr>
          <w:rStyle w:val="Znakapoznpodarou"/>
        </w:rPr>
        <w:footnoteRef/>
      </w:r>
      <w:r>
        <w:t xml:space="preserve"> Digitální repozitář Poslanecké sněmovny Parlamentu ČR, Národní shromáždění republiky Československé, stenoprotokol 33. schůze z 9. 7. 1959 [online], Html. ed., [citováno 9. 3. 2013], </w:t>
      </w:r>
      <w:r w:rsidRPr="007A00D2">
        <w:t>http://www.psp.cz/eknih/1954ns/stenprot/033schuz/s033028.htm</w:t>
      </w:r>
    </w:p>
  </w:footnote>
  <w:footnote w:id="9">
    <w:p w:rsidR="00AF25A8" w:rsidRDefault="00AF25A8" w:rsidP="00AF25A8">
      <w:pPr>
        <w:pStyle w:val="Textpoznpodarou"/>
        <w:ind w:firstLine="0"/>
      </w:pPr>
      <w:r>
        <w:rPr>
          <w:rStyle w:val="Znakapoznpodarou"/>
        </w:rPr>
        <w:footnoteRef/>
      </w:r>
      <w:r>
        <w:t xml:space="preserve"> Zák. č. 52/1959 Sb. o osvětové činnosti, § 8, odst. 2.</w:t>
      </w:r>
    </w:p>
  </w:footnote>
  <w:footnote w:id="10">
    <w:p w:rsidR="00AF25A8" w:rsidRDefault="00AF25A8" w:rsidP="00AF25A8">
      <w:pPr>
        <w:pStyle w:val="Textpoznpodarou"/>
        <w:ind w:firstLine="0"/>
      </w:pPr>
      <w:r>
        <w:rPr>
          <w:rStyle w:val="Znakapoznpodarou"/>
        </w:rPr>
        <w:footnoteRef/>
      </w:r>
      <w:r>
        <w:t xml:space="preserve"> SOkA Uherské Hradiště, citovaný pramen.</w:t>
      </w:r>
    </w:p>
  </w:footnote>
  <w:footnote w:id="11">
    <w:p w:rsidR="00AF25A8" w:rsidRDefault="00AF25A8" w:rsidP="00AF25A8">
      <w:pPr>
        <w:pStyle w:val="Textpoznpodarou"/>
        <w:ind w:firstLine="0"/>
      </w:pPr>
      <w:r>
        <w:rPr>
          <w:rStyle w:val="Znakapoznpodarou"/>
        </w:rPr>
        <w:footnoteRef/>
      </w:r>
      <w:r>
        <w:t xml:space="preserve"> Tamtéž, návrh na využití objektu věznice a soudu z 19. 3. 1964; informační dopis z 23. 3. 1964.</w:t>
      </w:r>
    </w:p>
  </w:footnote>
  <w:footnote w:id="12">
    <w:p w:rsidR="00AF25A8" w:rsidRDefault="00AF25A8" w:rsidP="00AF25A8">
      <w:pPr>
        <w:pStyle w:val="Textpoznpodarou"/>
        <w:ind w:firstLine="0"/>
      </w:pPr>
      <w:r>
        <w:rPr>
          <w:rStyle w:val="Znakapoznpodarou"/>
        </w:rPr>
        <w:footnoteRef/>
      </w:r>
      <w:r>
        <w:t xml:space="preserve"> Tamtéž, rozpočet úpravy objektu ONV pro potřeby okresního soudu, prokuratury a notářství z 19. 3. 1964.</w:t>
      </w:r>
    </w:p>
  </w:footnote>
  <w:footnote w:id="13">
    <w:p w:rsidR="00AF25A8" w:rsidRDefault="00AF25A8" w:rsidP="00AF25A8">
      <w:pPr>
        <w:pStyle w:val="Textpoznpodarou"/>
        <w:ind w:firstLine="0"/>
      </w:pPr>
      <w:r>
        <w:rPr>
          <w:rStyle w:val="Znakapoznpodarou"/>
        </w:rPr>
        <w:footnoteRef/>
      </w:r>
      <w:r>
        <w:t xml:space="preserve"> Tamtéž, návrh na využití objektu věznice a soudu z 19. 3. 1964.</w:t>
      </w:r>
    </w:p>
  </w:footnote>
  <w:footnote w:id="14">
    <w:p w:rsidR="00AF25A8" w:rsidRPr="008131C8" w:rsidRDefault="00AF25A8" w:rsidP="00AF25A8">
      <w:pPr>
        <w:pStyle w:val="Textpoznpodarou"/>
        <w:ind w:firstLine="0"/>
      </w:pPr>
      <w:r>
        <w:rPr>
          <w:rStyle w:val="Znakapoznpodarou"/>
        </w:rPr>
        <w:footnoteRef/>
      </w:r>
      <w:r>
        <w:t xml:space="preserve"> PURDEŠ, V. </w:t>
      </w:r>
      <w:r>
        <w:rPr>
          <w:i/>
        </w:rPr>
        <w:t>Skuteč</w:t>
      </w:r>
      <w:r>
        <w:t>. Zpravodaj SNV ČSR, říjen 1978, s. 28-29.</w:t>
      </w:r>
    </w:p>
  </w:footnote>
  <w:footnote w:id="15">
    <w:p w:rsidR="00AF25A8" w:rsidRDefault="00AF25A8" w:rsidP="00AF25A8">
      <w:pPr>
        <w:pStyle w:val="Textpoznpodarou"/>
        <w:ind w:firstLine="0"/>
      </w:pPr>
      <w:r>
        <w:rPr>
          <w:rStyle w:val="Znakapoznpodarou"/>
        </w:rPr>
        <w:footnoteRef/>
      </w:r>
      <w:r>
        <w:t xml:space="preserve"> SOkA Uherské Hradiště, f. ONV Uherské Hradiště, inv. č. 795, kart. 1186, posouzení využití budovy bývalé věznice jako Domu služeb z března 1981.  </w:t>
      </w:r>
    </w:p>
  </w:footnote>
  <w:footnote w:id="16">
    <w:p w:rsidR="00AF25A8" w:rsidRDefault="00AF25A8" w:rsidP="00AF25A8">
      <w:pPr>
        <w:pStyle w:val="Textpoznpodarou"/>
        <w:ind w:firstLine="0"/>
      </w:pPr>
      <w:r>
        <w:rPr>
          <w:rStyle w:val="Znakapoznpodarou"/>
        </w:rPr>
        <w:footnoteRef/>
      </w:r>
      <w:r>
        <w:t xml:space="preserve"> Tamtéž.</w:t>
      </w:r>
    </w:p>
  </w:footnote>
  <w:footnote w:id="17">
    <w:p w:rsidR="00AF25A8" w:rsidRDefault="00AF25A8" w:rsidP="00AF25A8">
      <w:pPr>
        <w:pStyle w:val="Textpoznpodarou"/>
        <w:ind w:firstLine="0"/>
      </w:pPr>
      <w:r>
        <w:rPr>
          <w:rStyle w:val="Znakapoznpodarou"/>
        </w:rPr>
        <w:footnoteRef/>
      </w:r>
      <w:r>
        <w:t xml:space="preserve"> Tamtéž.</w:t>
      </w:r>
    </w:p>
  </w:footnote>
  <w:footnote w:id="18">
    <w:p w:rsidR="00AF25A8" w:rsidRDefault="00AF25A8" w:rsidP="00AF25A8">
      <w:pPr>
        <w:pStyle w:val="Textpoznpodarou"/>
        <w:ind w:firstLine="0"/>
      </w:pPr>
      <w:r>
        <w:rPr>
          <w:rStyle w:val="Znakapoznpodarou"/>
        </w:rPr>
        <w:footnoteRef/>
      </w:r>
      <w:r>
        <w:t xml:space="preserve"> Rozhovor s akad. arch. Janem Palackým uskutečněný autorem dne 26. 3. 2013.</w:t>
      </w:r>
    </w:p>
  </w:footnote>
  <w:footnote w:id="19">
    <w:p w:rsidR="00AF25A8" w:rsidRPr="008D3FED" w:rsidRDefault="00AF25A8" w:rsidP="00AF25A8">
      <w:pPr>
        <w:pStyle w:val="Textpoznpodarou"/>
        <w:ind w:firstLine="0"/>
      </w:pPr>
      <w:r>
        <w:rPr>
          <w:rStyle w:val="Znakapoznpodarou"/>
        </w:rPr>
        <w:footnoteRef/>
      </w:r>
      <w:r>
        <w:t xml:space="preserve"> ČOUPEK, J. </w:t>
      </w:r>
      <w:r>
        <w:rPr>
          <w:i/>
        </w:rPr>
        <w:t>50. let Státního okresního archivu v Uherském Hradišti</w:t>
      </w:r>
      <w:r>
        <w:t>. Uherské Hradiště 1997. s. 29-30.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CC2DC8"/>
    <w:multiLevelType w:val="hybridMultilevel"/>
    <w:tmpl w:val="3D00883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CB7"/>
    <w:rsid w:val="006F1CB7"/>
    <w:rsid w:val="00747921"/>
    <w:rsid w:val="00AF25A8"/>
    <w:rsid w:val="00D662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AF25A8"/>
    <w:pPr>
      <w:spacing w:after="0" w:line="240" w:lineRule="auto"/>
      <w:ind w:firstLine="709"/>
      <w:contextualSpacing/>
      <w:jc w:val="both"/>
    </w:pPr>
    <w:rPr>
      <w:rFonts w:ascii="Palatino Linotype" w:hAnsi="Palatino Linotype"/>
      <w:sz w:val="20"/>
      <w:szCs w:val="20"/>
    </w:rPr>
  </w:style>
  <w:style w:type="character" w:customStyle="1" w:styleId="TextpoznpodarouChar">
    <w:name w:val="Text pozn. pod čarou Char"/>
    <w:basedOn w:val="Standardnpsmoodstavce"/>
    <w:link w:val="Textpoznpodarou"/>
    <w:uiPriority w:val="99"/>
    <w:semiHidden/>
    <w:rsid w:val="00AF25A8"/>
    <w:rPr>
      <w:rFonts w:ascii="Palatino Linotype" w:hAnsi="Palatino Linotype"/>
      <w:sz w:val="20"/>
      <w:szCs w:val="20"/>
    </w:rPr>
  </w:style>
  <w:style w:type="character" w:styleId="Znakapoznpodarou">
    <w:name w:val="footnote reference"/>
    <w:basedOn w:val="Standardnpsmoodstavce"/>
    <w:uiPriority w:val="99"/>
    <w:semiHidden/>
    <w:unhideWhenUsed/>
    <w:rsid w:val="00AF25A8"/>
    <w:rPr>
      <w:vertAlign w:val="superscript"/>
    </w:rPr>
  </w:style>
  <w:style w:type="paragraph" w:styleId="Zpat">
    <w:name w:val="footer"/>
    <w:basedOn w:val="Normln"/>
    <w:link w:val="ZpatChar"/>
    <w:uiPriority w:val="99"/>
    <w:unhideWhenUsed/>
    <w:rsid w:val="00AF25A8"/>
    <w:pPr>
      <w:tabs>
        <w:tab w:val="center" w:pos="4536"/>
        <w:tab w:val="right" w:pos="9072"/>
      </w:tabs>
      <w:spacing w:after="0" w:line="240" w:lineRule="auto"/>
      <w:ind w:firstLine="709"/>
      <w:contextualSpacing/>
      <w:jc w:val="both"/>
    </w:pPr>
    <w:rPr>
      <w:rFonts w:ascii="Palatino Linotype" w:hAnsi="Palatino Linotype"/>
      <w:sz w:val="24"/>
    </w:rPr>
  </w:style>
  <w:style w:type="character" w:customStyle="1" w:styleId="ZpatChar">
    <w:name w:val="Zápatí Char"/>
    <w:basedOn w:val="Standardnpsmoodstavce"/>
    <w:link w:val="Zpat"/>
    <w:uiPriority w:val="99"/>
    <w:rsid w:val="00AF25A8"/>
    <w:rPr>
      <w:rFonts w:ascii="Palatino Linotype" w:hAnsi="Palatino Linotype"/>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AF25A8"/>
    <w:pPr>
      <w:spacing w:after="0" w:line="240" w:lineRule="auto"/>
      <w:ind w:firstLine="709"/>
      <w:contextualSpacing/>
      <w:jc w:val="both"/>
    </w:pPr>
    <w:rPr>
      <w:rFonts w:ascii="Palatino Linotype" w:hAnsi="Palatino Linotype"/>
      <w:sz w:val="20"/>
      <w:szCs w:val="20"/>
    </w:rPr>
  </w:style>
  <w:style w:type="character" w:customStyle="1" w:styleId="TextpoznpodarouChar">
    <w:name w:val="Text pozn. pod čarou Char"/>
    <w:basedOn w:val="Standardnpsmoodstavce"/>
    <w:link w:val="Textpoznpodarou"/>
    <w:uiPriority w:val="99"/>
    <w:semiHidden/>
    <w:rsid w:val="00AF25A8"/>
    <w:rPr>
      <w:rFonts w:ascii="Palatino Linotype" w:hAnsi="Palatino Linotype"/>
      <w:sz w:val="20"/>
      <w:szCs w:val="20"/>
    </w:rPr>
  </w:style>
  <w:style w:type="character" w:styleId="Znakapoznpodarou">
    <w:name w:val="footnote reference"/>
    <w:basedOn w:val="Standardnpsmoodstavce"/>
    <w:uiPriority w:val="99"/>
    <w:semiHidden/>
    <w:unhideWhenUsed/>
    <w:rsid w:val="00AF25A8"/>
    <w:rPr>
      <w:vertAlign w:val="superscript"/>
    </w:rPr>
  </w:style>
  <w:style w:type="paragraph" w:styleId="Zpat">
    <w:name w:val="footer"/>
    <w:basedOn w:val="Normln"/>
    <w:link w:val="ZpatChar"/>
    <w:uiPriority w:val="99"/>
    <w:unhideWhenUsed/>
    <w:rsid w:val="00AF25A8"/>
    <w:pPr>
      <w:tabs>
        <w:tab w:val="center" w:pos="4536"/>
        <w:tab w:val="right" w:pos="9072"/>
      </w:tabs>
      <w:spacing w:after="0" w:line="240" w:lineRule="auto"/>
      <w:ind w:firstLine="709"/>
      <w:contextualSpacing/>
      <w:jc w:val="both"/>
    </w:pPr>
    <w:rPr>
      <w:rFonts w:ascii="Palatino Linotype" w:hAnsi="Palatino Linotype"/>
      <w:sz w:val="24"/>
    </w:rPr>
  </w:style>
  <w:style w:type="character" w:customStyle="1" w:styleId="ZpatChar">
    <w:name w:val="Zápatí Char"/>
    <w:basedOn w:val="Standardnpsmoodstavce"/>
    <w:link w:val="Zpat"/>
    <w:uiPriority w:val="99"/>
    <w:rsid w:val="00AF25A8"/>
    <w:rPr>
      <w:rFonts w:ascii="Palatino Linotype" w:hAnsi="Palatino Linotyp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2538</Words>
  <Characters>14977</Characters>
  <Application>Microsoft Office Word</Application>
  <DocSecurity>0</DocSecurity>
  <Lines>124</Lines>
  <Paragraphs>34</Paragraphs>
  <ScaleCrop>false</ScaleCrop>
  <Company>Slovácké muzeum</Company>
  <LinksUpToDate>false</LinksUpToDate>
  <CharactersWithSpaces>17481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Portl</dc:creator>
  <cp:keywords/>
  <dc:description/>
  <cp:lastModifiedBy>Pavel Portl</cp:lastModifiedBy>
  <cp:revision>2</cp:revision>
  <dcterms:created xsi:type="dcterms:W3CDTF">2015-10-23T05:56:00Z</dcterms:created>
  <dcterms:modified xsi:type="dcterms:W3CDTF">2015-10-23T05:56:00Z</dcterms:modified>
</cp:coreProperties>
</file>