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A8" w:rsidRPr="00AF25A8" w:rsidRDefault="00AF25A8" w:rsidP="00AF25A8">
      <w:pPr>
        <w:spacing w:line="360" w:lineRule="auto"/>
        <w:contextualSpacing/>
        <w:jc w:val="center"/>
        <w:rPr>
          <w:rFonts w:ascii="Times New Roman" w:hAnsi="Times New Roman" w:cs="Times New Roman"/>
          <w:b/>
          <w:sz w:val="24"/>
        </w:rPr>
      </w:pPr>
      <w:r w:rsidRPr="00AF25A8">
        <w:rPr>
          <w:rFonts w:ascii="Times New Roman" w:hAnsi="Times New Roman" w:cs="Times New Roman"/>
          <w:b/>
          <w:sz w:val="24"/>
        </w:rPr>
        <w:t>Plány na využití budovy bývalé věznice v Uherském Hradišti v 60. a 80. l. 20. st.</w:t>
      </w:r>
    </w:p>
    <w:p w:rsidR="00AF25A8" w:rsidRPr="00AF25A8" w:rsidRDefault="00AF25A8" w:rsidP="00AF25A8">
      <w:pPr>
        <w:spacing w:line="360" w:lineRule="auto"/>
        <w:contextualSpacing/>
        <w:jc w:val="center"/>
        <w:rPr>
          <w:rFonts w:ascii="Times New Roman" w:hAnsi="Times New Roman" w:cs="Times New Roman"/>
          <w:sz w:val="24"/>
        </w:rPr>
      </w:pPr>
      <w:r w:rsidRPr="00AF25A8">
        <w:rPr>
          <w:rFonts w:ascii="Times New Roman" w:hAnsi="Times New Roman" w:cs="Times New Roman"/>
          <w:sz w:val="24"/>
        </w:rPr>
        <w:t>Ondřej Hladík, Kabinet dokumentace a historie VS ČR</w:t>
      </w:r>
    </w:p>
    <w:p w:rsidR="00AF25A8" w:rsidRPr="00AF25A8" w:rsidRDefault="00AF25A8" w:rsidP="00AF25A8">
      <w:pPr>
        <w:spacing w:line="360" w:lineRule="auto"/>
        <w:contextualSpacing/>
        <w:jc w:val="center"/>
        <w:rPr>
          <w:rFonts w:ascii="Times New Roman" w:hAnsi="Times New Roman" w:cs="Times New Roman"/>
          <w:sz w:val="24"/>
        </w:rPr>
      </w:pP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 xml:space="preserve"> Ač by se mohlo zdát, že historie věznic je v podstatě monotematickým přehledem informací o jejich vzniku, zahájení provozu či maximálním počtu odsouzených, kteří se do jejich prostor vešli, skutečnost je v mnoha případech zcela jiná. Ze současných stále funkčních areálů má bezpochyby nejbohatší minulost původně biskupský hrad na Mírově společně s valdickou kartouzou založenou Albrechtem z Valdštejna, ale nejen tyto asi nejznámější vězeňské ústavy si zaslouží pozornost. Za velmi zajímavé lze považovat například i osudy bývalé okresní soudní věznice v Lokti, jež se nacházela v prostorách známého západočeského hradu, kde současně existovalo i městské muzeum.</w:t>
      </w:r>
      <w:r w:rsidRPr="00AF25A8">
        <w:rPr>
          <w:rFonts w:ascii="Times New Roman" w:hAnsi="Times New Roman" w:cs="Times New Roman"/>
          <w:sz w:val="24"/>
          <w:vertAlign w:val="superscript"/>
        </w:rPr>
        <w:footnoteReference w:id="1"/>
      </w:r>
      <w:r w:rsidRPr="00AF25A8">
        <w:rPr>
          <w:rFonts w:ascii="Times New Roman" w:hAnsi="Times New Roman" w:cs="Times New Roman"/>
          <w:sz w:val="24"/>
        </w:rPr>
        <w:t xml:space="preserve"> Existuje však ještě jedna specifická skupina, do níž patří věznice, vznikající po soudních reformách v polovině 19. století jako novostavby určené přímo k tomu, aby si v nich delikventi odpykali soudem vyměřený trest, ale z různých důvodů během století následujícího přestaly tento účel plnit.</w:t>
      </w: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Do uvedené kategorie patří i bývalá krajská soudní věznice v Uherském Hradišti, stojící ve středu zájmu tohoto odborného setkání. Je tedy zřejmé, že v jejím případě nelze hovořit o pestré minulosti sahající až do středověku nebo raného novověku, jedná se o historii daleko kratší, ale přesto zahrnující mnoho zásadních témat. Na jejím pomyslném konci pak stojí kapitola, která z  dnešního pohledu nekončí příliš pozitivně – chátráním pustnoucích objektů.</w:t>
      </w:r>
      <w:r w:rsidRPr="00AF25A8">
        <w:rPr>
          <w:rFonts w:ascii="Times New Roman" w:hAnsi="Times New Roman" w:cs="Times New Roman"/>
          <w:sz w:val="24"/>
          <w:vertAlign w:val="superscript"/>
        </w:rPr>
        <w:footnoteReference w:id="2"/>
      </w:r>
      <w:r w:rsidRPr="00AF25A8">
        <w:rPr>
          <w:rFonts w:ascii="Times New Roman" w:hAnsi="Times New Roman" w:cs="Times New Roman"/>
          <w:sz w:val="24"/>
        </w:rPr>
        <w:t xml:space="preserve"> K tomu však nedošlo přímo v důsledku odchodu posledních odsouzených, bez jejichž přítomnosti by celý areál pozbyl smyslu existence, vede k němu cesta přesahující pět desetiletí, během nichž proběhlo několik pokusů o nalezení nového a smysluplného způsobu využití. Právě tyto události si klade za úkol přiblížit předkládaný příspěvek.</w:t>
      </w: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 xml:space="preserve">Před vlastní analýzou plánů na využití celého komplexu ale nejprve několik slov ke zrušení věznice. Došlo k němu v roce 1960 na základě reformy veřejné správy, která tehdy proběhla. Ta vycházela ze zákona č. 36/1960 Sb., o územním členění státu. Byl tak mimo jiné zrušen i Gotwaldovský kraj a většina jeho dosavadního území připadla nově zřízenému kraji jihomoravskému se správním centrem v Brně. Navazující uzákoněné nařízení ministra </w:t>
      </w:r>
      <w:r w:rsidRPr="00AF25A8">
        <w:rPr>
          <w:rFonts w:ascii="Times New Roman" w:hAnsi="Times New Roman" w:cs="Times New Roman"/>
          <w:sz w:val="24"/>
        </w:rPr>
        <w:lastRenderedPageBreak/>
        <w:t>spravedlnosti stejným způsobem reorganizovalo justiční správu, takže dosavadní krajské soudy přesídlily do sídel nových krajských národních výborů (KNV).</w:t>
      </w:r>
      <w:r w:rsidRPr="00AF25A8">
        <w:rPr>
          <w:rFonts w:ascii="Times New Roman" w:hAnsi="Times New Roman" w:cs="Times New Roman"/>
          <w:sz w:val="24"/>
          <w:vertAlign w:val="superscript"/>
        </w:rPr>
        <w:footnoteReference w:id="3"/>
      </w:r>
      <w:r w:rsidRPr="00AF25A8">
        <w:rPr>
          <w:rFonts w:ascii="Times New Roman" w:hAnsi="Times New Roman" w:cs="Times New Roman"/>
          <w:sz w:val="24"/>
        </w:rPr>
        <w:t xml:space="preserve"> Uvedená změna samozřejmě postihla i soud s věznicí v Uherském Hradišti, jež proto ukončily činnost.</w:t>
      </w: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Takzvaný justiční palác ale nezůstal nevyužit. V budově bývalého krajského soudu sídlil okresní soud, okresní prokuratura a státní notářství. Ve věznici pak mělo kanceláře Okresní oddělení Sboru národní bezpečnosti (SNB), které zabíraly 29 místností o celkové rozloze 822 m</w:t>
      </w:r>
      <w:r w:rsidRPr="00AF25A8">
        <w:rPr>
          <w:rFonts w:ascii="Times New Roman" w:hAnsi="Times New Roman" w:cs="Times New Roman"/>
          <w:sz w:val="24"/>
          <w:vertAlign w:val="superscript"/>
        </w:rPr>
        <w:t>2</w:t>
      </w:r>
      <w:r w:rsidRPr="00AF25A8">
        <w:rPr>
          <w:rFonts w:ascii="Times New Roman" w:hAnsi="Times New Roman" w:cs="Times New Roman"/>
          <w:sz w:val="24"/>
        </w:rPr>
        <w:t>. Další prostory areálu sloužily jako skladiště pro potřeby Vnitřní stráže ministerstva vnitra (celkem 114 místností, 2075 m</w:t>
      </w:r>
      <w:r w:rsidRPr="00AF25A8">
        <w:rPr>
          <w:rFonts w:ascii="Times New Roman" w:hAnsi="Times New Roman" w:cs="Times New Roman"/>
          <w:sz w:val="24"/>
          <w:vertAlign w:val="superscript"/>
        </w:rPr>
        <w:t>2</w:t>
      </w:r>
      <w:r w:rsidRPr="00AF25A8">
        <w:rPr>
          <w:rFonts w:ascii="Times New Roman" w:hAnsi="Times New Roman" w:cs="Times New Roman"/>
          <w:sz w:val="24"/>
        </w:rPr>
        <w:t>), ale záhy byly shledány k tomuto účelu jako nevhodné, protože podlahy neměly potřebnou nosnost a charakter stavby neumožňoval využití potřebné mechanizace, takže přemisťování materiálu „…</w:t>
      </w:r>
      <w:r w:rsidRPr="00AF25A8">
        <w:rPr>
          <w:rFonts w:ascii="Times New Roman" w:hAnsi="Times New Roman" w:cs="Times New Roman"/>
          <w:i/>
          <w:sz w:val="24"/>
        </w:rPr>
        <w:t xml:space="preserve">vyžaduje pouze ruční přepravu a v současné době </w:t>
      </w:r>
      <w:r w:rsidRPr="00AF25A8">
        <w:rPr>
          <w:rFonts w:ascii="Times New Roman" w:hAnsi="Times New Roman" w:cs="Times New Roman"/>
          <w:sz w:val="24"/>
        </w:rPr>
        <w:t xml:space="preserve">(v roce 1964 – pozn. autora) </w:t>
      </w:r>
      <w:r w:rsidRPr="00AF25A8">
        <w:rPr>
          <w:rFonts w:ascii="Times New Roman" w:hAnsi="Times New Roman" w:cs="Times New Roman"/>
          <w:i/>
          <w:sz w:val="24"/>
        </w:rPr>
        <w:t>je objekt vnitřní stráží uvolněn</w:t>
      </w:r>
      <w:r w:rsidRPr="00AF25A8">
        <w:rPr>
          <w:rFonts w:ascii="Times New Roman" w:hAnsi="Times New Roman" w:cs="Times New Roman"/>
          <w:sz w:val="24"/>
        </w:rPr>
        <w:t>.“</w:t>
      </w:r>
      <w:r w:rsidRPr="00AF25A8">
        <w:rPr>
          <w:rFonts w:ascii="Times New Roman" w:hAnsi="Times New Roman" w:cs="Times New Roman"/>
          <w:sz w:val="24"/>
          <w:vertAlign w:val="superscript"/>
        </w:rPr>
        <w:footnoteReference w:id="4"/>
      </w:r>
      <w:r w:rsidRPr="00AF25A8">
        <w:rPr>
          <w:rFonts w:ascii="Times New Roman" w:hAnsi="Times New Roman" w:cs="Times New Roman"/>
          <w:sz w:val="24"/>
        </w:rPr>
        <w:t xml:space="preserve"> Rovněž tak vězeňská správa areál zcela neopustila a využívala jeho část jako sklad intendančního materiálu,</w:t>
      </w:r>
      <w:r w:rsidRPr="00AF25A8">
        <w:rPr>
          <w:rFonts w:ascii="Times New Roman" w:hAnsi="Times New Roman" w:cs="Times New Roman"/>
          <w:sz w:val="24"/>
          <w:vertAlign w:val="superscript"/>
        </w:rPr>
        <w:footnoteReference w:id="5"/>
      </w:r>
      <w:r w:rsidRPr="00AF25A8">
        <w:rPr>
          <w:rFonts w:ascii="Times New Roman" w:hAnsi="Times New Roman" w:cs="Times New Roman"/>
          <w:sz w:val="24"/>
        </w:rPr>
        <w:t xml:space="preserve"> a to přes výše uvedené postoje Vnitřní stráže MV.</w:t>
      </w: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 xml:space="preserve">  Okresní výbor KSČ (OV KSČ) v Uherském Hradišti se ale v první polovině 60. let zabýval nevhodným umístěním střední umělecko-průmyslové školy (SÚPŠ). Tento problém měla původně vyřešit novostavba v Gottwaldově, s jejíž realizací se počítalo v roce 1962, ale investiční záměr ve výši 7 milionů korun nakonec znemožnil dostatek finančních prostředků s tím, že „</w:t>
      </w:r>
      <w:r w:rsidRPr="00AF25A8">
        <w:rPr>
          <w:rFonts w:ascii="Times New Roman" w:hAnsi="Times New Roman" w:cs="Times New Roman"/>
          <w:i/>
          <w:sz w:val="24"/>
        </w:rPr>
        <w:t>nadřízené orgány</w:t>
      </w:r>
      <w:r w:rsidRPr="00AF25A8">
        <w:rPr>
          <w:rFonts w:ascii="Times New Roman" w:hAnsi="Times New Roman" w:cs="Times New Roman"/>
          <w:sz w:val="24"/>
        </w:rPr>
        <w:t>“ nedávaly do budoucna naději na zabezpečení dostatečného krytí nákladů spojených se zahájením prací.</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Žáci proto ještě v roce 1964 studovali na šesti vzájemně dosti vzdálených místech, navíc v nevyhovujících prostorách. Největší část sídlila v druhém poschodí okresního národního výboru (ONV), které však nesplňovalo všechny požadavky z hlediska statiky: „</w:t>
      </w:r>
      <w:r w:rsidRPr="00AF25A8">
        <w:rPr>
          <w:rFonts w:ascii="Times New Roman" w:hAnsi="Times New Roman" w:cs="Times New Roman"/>
          <w:i/>
          <w:sz w:val="24"/>
        </w:rPr>
        <w:t>Při provozu strojů zde umístěných vznikají na objektu neustálé škody (opadávání omítek, praskání objektu, praskání okenních tabulí atd.).“</w:t>
      </w:r>
      <w:r w:rsidRPr="00AF25A8">
        <w:rPr>
          <w:rFonts w:ascii="Times New Roman" w:hAnsi="Times New Roman" w:cs="Times New Roman"/>
          <w:sz w:val="24"/>
          <w:vertAlign w:val="superscript"/>
        </w:rPr>
        <w:footnoteReference w:id="6"/>
      </w:r>
      <w:r w:rsidRPr="00AF25A8">
        <w:rPr>
          <w:rFonts w:ascii="Times New Roman" w:hAnsi="Times New Roman" w:cs="Times New Roman"/>
          <w:i/>
          <w:sz w:val="24"/>
        </w:rPr>
        <w:t xml:space="preserve"> </w:t>
      </w:r>
      <w:r w:rsidRPr="00AF25A8">
        <w:rPr>
          <w:rFonts w:ascii="Times New Roman" w:hAnsi="Times New Roman" w:cs="Times New Roman"/>
          <w:sz w:val="24"/>
        </w:rPr>
        <w:t xml:space="preserve">Obory stolařství, kamenictví, sochařství, keramika a chlapecký internát měl své sídlo v takzvané „Franklovce“, která původně patřila lihovarníkovi Frankolovi. Zájemci o dekorační malbu chodili do objektu nazývaného „pod radnicí“. Ten však místní funkcionáři zhodnotili tak, že je vhodný pouze jako skladový areál. Kamenosochařská dílna na tom nebyla o mnoho lépe, protože pro své potřeby mohla využívat </w:t>
      </w:r>
      <w:r w:rsidRPr="00AF25A8">
        <w:rPr>
          <w:rFonts w:ascii="Times New Roman" w:hAnsi="Times New Roman" w:cs="Times New Roman"/>
          <w:sz w:val="24"/>
        </w:rPr>
        <w:lastRenderedPageBreak/>
        <w:t>jednu místnost v garážích v Rostislavově ulici. Dívčí internát se nacházel ve vile malíře Stanislava Lolka z roku 1931 a školní kuchyně s jídelnou zabírala Měšťanskou besedu. Nemůže proto překvapit, že místní funkcionáři obrátili pozornost k rozsáhlému komplexu soudu a věznice.</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Jejich kroky nacházely oporu v postojích a požadavcích nejvyšších vládních a stranických míst. Již v roce 1959 byl přijat zákon č. 52/1959 Sb., o osvětové činnosti, podle nějž veškeré kroky spojené s plánovaním propagandistických aktivit, včetně budování „osvětových zařízení“ spadaly do pravomocí (a povinností) národních výborů.</w:t>
      </w:r>
      <w:r w:rsidRPr="00AF25A8">
        <w:rPr>
          <w:rFonts w:ascii="Times New Roman" w:hAnsi="Times New Roman" w:cs="Times New Roman"/>
          <w:sz w:val="24"/>
          <w:vertAlign w:val="superscript"/>
        </w:rPr>
        <w:footnoteReference w:id="7"/>
      </w:r>
      <w:r w:rsidRPr="00AF25A8">
        <w:rPr>
          <w:rFonts w:ascii="Times New Roman" w:hAnsi="Times New Roman" w:cs="Times New Roman"/>
          <w:sz w:val="24"/>
        </w:rPr>
        <w:t xml:space="preserve"> Ještě před přijetím této právní normy vystoupil ministr školství František Kahuda v Národním shromáždění s projevem k předkládané osnově uvedeného zákona, kde mimo jiné prohlásil: „</w:t>
      </w:r>
      <w:r w:rsidRPr="00AF25A8">
        <w:rPr>
          <w:rFonts w:ascii="Times New Roman" w:hAnsi="Times New Roman" w:cs="Times New Roman"/>
          <w:i/>
          <w:sz w:val="24"/>
        </w:rPr>
        <w:t>To hlavní spočívá v nutnost zajistit jednotu politického a kulturního života. V tomto ohledu přísluší významná úloha národním výborům, které podle ústavního zákona o řízení hospodářské a kulturní výstavby odpovídají za úsek osvěty v celé šíři</w:t>
      </w:r>
      <w:r w:rsidRPr="00AF25A8">
        <w:rPr>
          <w:rFonts w:ascii="Times New Roman" w:hAnsi="Times New Roman" w:cs="Times New Roman"/>
          <w:sz w:val="24"/>
        </w:rPr>
        <w:t>.“</w:t>
      </w:r>
      <w:r w:rsidRPr="00AF25A8">
        <w:rPr>
          <w:rFonts w:ascii="Times New Roman" w:hAnsi="Times New Roman" w:cs="Times New Roman"/>
          <w:sz w:val="24"/>
          <w:vertAlign w:val="superscript"/>
        </w:rPr>
        <w:footnoteReference w:id="8"/>
      </w:r>
      <w:r w:rsidRPr="00AF25A8">
        <w:rPr>
          <w:rFonts w:ascii="Times New Roman" w:hAnsi="Times New Roman" w:cs="Times New Roman"/>
          <w:sz w:val="24"/>
        </w:rPr>
        <w:t xml:space="preserve"> Při výkladu o nutnosti jeho přijetí se rovněž zaštiťoval směrnicemi přijatými na XI. sjezdu KSČ, dílčími usnesení Ústředního výboru KSČ (ÚV KSČ) a závěry ze Sjezdu socialistické kultury. Tato skutečnost představovala pro prosazení plánů na další využití věznice významnou podporu, obzvláště když ji doposud spravovaly orgány ministerstva vnitra. Umístění střední školy sice přímo nesouviselo s osvětou, ale zároveň se počítalo se zřízením domu pionýrů v jednom z uvolněných domů, a ten již přímo konvenoval se záměry komunistického vedení.</w:t>
      </w:r>
      <w:r w:rsidRPr="00AF25A8">
        <w:rPr>
          <w:rFonts w:ascii="Times New Roman" w:hAnsi="Times New Roman" w:cs="Times New Roman"/>
          <w:sz w:val="24"/>
          <w:vertAlign w:val="superscript"/>
        </w:rPr>
        <w:footnoteReference w:id="9"/>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Přímou oporu v jednání představovalo pro OV KSČ Uherské Hradiště usnesení vlády č. 948 z 13. listopadu 1959, nařizující využít budovy uvolněné v důsledku územní reorganizace především k pokrytí požadavků školství, kultury a zdravotnictví. Právě na jeho základě sestavila komise obrany uvedeného úřadu informační dopis, který v březnu 1964 zaslala společně s návrhem na využití věznice ministrům vnitra a školství. Současně ho autoři adresovali také XI. oddělení ÚV KSČ v Praze. Tomu však předcházelo předběžné projednání plánu na Krajském výboru KSČ a KNV v Brně.  V uvedené písemnosti bylo přímo uvedeno: „…</w:t>
      </w:r>
      <w:r w:rsidRPr="00AF25A8">
        <w:rPr>
          <w:rFonts w:ascii="Times New Roman" w:hAnsi="Times New Roman" w:cs="Times New Roman"/>
          <w:i/>
          <w:sz w:val="24"/>
        </w:rPr>
        <w:t>považujeme jejich dnešní využití za nedostatečné a v rozporu s intencemi vládního usnesení…</w:t>
      </w:r>
      <w:r w:rsidRPr="00AF25A8">
        <w:rPr>
          <w:rFonts w:ascii="Times New Roman" w:hAnsi="Times New Roman" w:cs="Times New Roman"/>
          <w:sz w:val="24"/>
        </w:rPr>
        <w:t>“.</w:t>
      </w:r>
      <w:r w:rsidRPr="00AF25A8">
        <w:rPr>
          <w:rFonts w:ascii="Times New Roman" w:hAnsi="Times New Roman" w:cs="Times New Roman"/>
          <w:sz w:val="24"/>
          <w:vertAlign w:val="superscript"/>
        </w:rPr>
        <w:footnoteReference w:id="10"/>
      </w:r>
      <w:r w:rsidRPr="00AF25A8">
        <w:rPr>
          <w:rFonts w:ascii="Times New Roman" w:hAnsi="Times New Roman" w:cs="Times New Roman"/>
          <w:sz w:val="24"/>
        </w:rPr>
        <w:t xml:space="preserve"> Oprávněnost plánovaných kroků dokument dokládá účastí blíže nespecifikovaného „…</w:t>
      </w:r>
      <w:r w:rsidRPr="00AF25A8">
        <w:rPr>
          <w:rFonts w:ascii="Times New Roman" w:hAnsi="Times New Roman" w:cs="Times New Roman"/>
          <w:i/>
          <w:sz w:val="24"/>
        </w:rPr>
        <w:t>úzkého kruhu vybraných odborníků…</w:t>
      </w:r>
      <w:r w:rsidRPr="00AF25A8">
        <w:rPr>
          <w:rFonts w:ascii="Times New Roman" w:hAnsi="Times New Roman" w:cs="Times New Roman"/>
          <w:sz w:val="24"/>
        </w:rPr>
        <w:t xml:space="preserve">“, kteří se usnesli </w:t>
      </w:r>
      <w:r w:rsidRPr="00AF25A8">
        <w:rPr>
          <w:rFonts w:ascii="Times New Roman" w:hAnsi="Times New Roman" w:cs="Times New Roman"/>
          <w:sz w:val="24"/>
        </w:rPr>
        <w:lastRenderedPageBreak/>
        <w:t>na následujícím: „</w:t>
      </w:r>
      <w:r w:rsidRPr="00AF25A8">
        <w:rPr>
          <w:rFonts w:ascii="Times New Roman" w:hAnsi="Times New Roman" w:cs="Times New Roman"/>
          <w:i/>
          <w:sz w:val="24"/>
        </w:rPr>
        <w:t>Po prozkoumání a celkovém posouzení objektů soudu a věznice mohla by být vzniklá situace uspokojivě řešena vhodnějším mírovým využitím těchto objektů po provedení nutných úprav.</w:t>
      </w:r>
      <w:r w:rsidRPr="00AF25A8">
        <w:rPr>
          <w:rFonts w:ascii="Times New Roman" w:hAnsi="Times New Roman" w:cs="Times New Roman"/>
          <w:sz w:val="24"/>
        </w:rPr>
        <w:t>“</w:t>
      </w:r>
      <w:r w:rsidRPr="00AF25A8">
        <w:rPr>
          <w:rFonts w:ascii="Times New Roman" w:hAnsi="Times New Roman" w:cs="Times New Roman"/>
          <w:sz w:val="24"/>
          <w:vertAlign w:val="superscript"/>
        </w:rPr>
        <w:footnoteReference w:id="11"/>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Současně proběhla přípravná jednání s představiteli okresního soudu, prokuratury a notářství. Jejich výsledek byl rovněž příznivý, protože všichni souhlasili s přestěhováním těchto úřadů do druhého poschodí ONV s podmínkou, že v suterénu jim bude vyhrazeno 11 místností pro uložení pozemkových knih, archiv a spisovnu.</w:t>
      </w:r>
      <w:r w:rsidRPr="00AF25A8">
        <w:rPr>
          <w:rFonts w:ascii="Times New Roman" w:hAnsi="Times New Roman" w:cs="Times New Roman"/>
          <w:sz w:val="24"/>
          <w:vertAlign w:val="superscript"/>
        </w:rPr>
        <w:footnoteReference w:id="12"/>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Po uzavření zmíněné dohody mohla začít vlastní realizace projektu. Ten měl mít pozitivní dopad především na provoz SÚPŠ, která by tak získala rozlehlý areál, do nějž mohla přemístit, jak všechny studijní obory, tak i internáty a jídelnu. Zároveň se počítalo s využitím uvolněné „Franklovky“ ke zřízení výše zmíněného domu pionýrů, který tehdy v Uherském Hradišti chyběl, což údajně přinášelo neustálou kritiku z vyšších míst, protože jiné okresy již tímto zařízením disponovaly. Jen připomeňme ustanovení osvětového zákona z roku 1959 a bude zřejmé, že v roce 1964 se tato situace stala snadným způsobem, jak vystupovat proti funkcionářům na všech úrovních správy města i okresu. Nelze se proto divit snahám o urychlené vyřešení nastíněného problému. Rovněž tak koncentrace řady důležitých úřadů v budově ONV hodnotil popsaný návrh jako krok přínosný pro většinu obyvatel z hlediska zjednodušení vyřizování jejich záležitostí. Jestli to tak nakonec opravdu dopadlo, analyzované prameny neuvádějí.</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 xml:space="preserve"> Zároveň se však objevilo i několik problémů. Za nejzávažnější bylo považováno dočasné soužití školského zařízení s bezpečnostními orgány, což s sebou neslo jak nutnost organizačního vyřešení dostatečného oddělení obou institucí, tak i nutnost projednání veškerých stavebních úprav s ministerstvem vnitra, aby změny nenarušily možnost využití areálu podle stanovisek plánu mimořádných opatření. Zároveň panovaly obavy z přílišného zpřístupnění areálu bývalé věznice veřejnosti, což se z dnešního hlediska může jevit jako v podstatě nepochopitelný argument. V polovině 60. let ale panovaly poněkud odlišné poměry, takže se vše mělo řešit regulací volného vstupu stálou vrátnicí, trvalým denním i nočním dozorem v internátech a omezením návštěv jen do přijímacích místností v budově bývalého soudu. Studenty tak v bývalé věznici čekal velmi přísný režim.</w:t>
      </w:r>
      <w:r w:rsidRPr="00AF25A8">
        <w:rPr>
          <w:rFonts w:ascii="Times New Roman" w:hAnsi="Times New Roman" w:cs="Times New Roman"/>
          <w:sz w:val="24"/>
          <w:vertAlign w:val="superscript"/>
        </w:rPr>
        <w:footnoteReference w:id="13"/>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lastRenderedPageBreak/>
        <w:t>K realizaci analyzovaného plánu nakonec v polovině 60. let došlo jen z části. Snad právě kvůli popsaným komplikacím získala SÚPŠ jen bývalou soudní budovu a objekt věznice se nedočkal žádných významnějších změn. Ty přinesl až plán tehdejší Správy Sboru nápravné výchovy ČSR na zrušení dosavadního skladu v prostorách, které byly roku 1972 shledány jako nevyhovující. Jednalo se tedy spíše o negativní zásah do existence objektu, jehož budoucí využití začalo být více či méně nejisté. K realizaci plánu na vybudování nových prostor ve Skutči ale vedla ještě dlouhá cesta, takže Ústřední sklad SNV fungoval v Uherském Hradišti až července roku 1978.</w:t>
      </w:r>
      <w:r w:rsidRPr="00AF25A8">
        <w:rPr>
          <w:rFonts w:ascii="Times New Roman" w:hAnsi="Times New Roman" w:cs="Times New Roman"/>
          <w:sz w:val="24"/>
          <w:vertAlign w:val="superscript"/>
        </w:rPr>
        <w:footnoteReference w:id="14"/>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Dalšího zásadnějšího plánu zabývajícího se osudy věznice se obyvatele Uherského Hradiště dočkali za necelé dva roky. Stalo se tak v únoru 1980, kdy byly plánovány rozsáhlejší úpravy centra města. Vznikla proto „</w:t>
      </w:r>
      <w:r w:rsidRPr="00AF25A8">
        <w:rPr>
          <w:rFonts w:ascii="Times New Roman" w:hAnsi="Times New Roman" w:cs="Times New Roman"/>
          <w:i/>
          <w:sz w:val="24"/>
        </w:rPr>
        <w:t>Konečná studie urbanistického centra Uherského Hradiště</w:t>
      </w:r>
      <w:r w:rsidRPr="00AF25A8">
        <w:rPr>
          <w:rFonts w:ascii="Times New Roman" w:hAnsi="Times New Roman" w:cs="Times New Roman"/>
          <w:sz w:val="24"/>
        </w:rPr>
        <w:t>“ zpracovaná Státním ústavem obchodu v Brně. Z ní posléze vycházel návrh na zřízení Domu služeb právě z objektu bývalé věznice zpracovaný plánovacím odborem Městského národního výboru. Posouzením vhodnosti projektu a jeho dalším rozpracováním se zabýval Stavoprojekt Gottwaldov, konkrétně pak kolektiv vedený akademickým architektem Janem Palackým, který je známý mimo jiné i rekonstrukcí Maměnky na Pustevnách. Vznikla tak rozsáhlá zpráva analyzující vhodnost celého objektu k nastíněnému využití. Ta se také stala zásadním pramenem pro následující pokus o přiblížení toho, jak se měl celý komplex proměnit.</w:t>
      </w:r>
      <w:r w:rsidRPr="00AF25A8">
        <w:rPr>
          <w:rFonts w:ascii="Times New Roman" w:hAnsi="Times New Roman" w:cs="Times New Roman"/>
          <w:sz w:val="24"/>
          <w:vertAlign w:val="superscript"/>
        </w:rPr>
        <w:footnoteReference w:id="15"/>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Základním předpokladem ozřejmujícím nutnost změny dosavadního stavu se stalo tvrzení, které vycházelo právě ze zmíněných plánů na proměnu centra města: „</w:t>
      </w:r>
      <w:r w:rsidRPr="00AF25A8">
        <w:rPr>
          <w:rFonts w:ascii="Times New Roman" w:hAnsi="Times New Roman" w:cs="Times New Roman"/>
          <w:i/>
          <w:sz w:val="24"/>
        </w:rPr>
        <w:t>Objekt tvoří svým rozsahem významnou urbanistickou součást středu města, jeho dnešní využití jako sklady neodpovídá potřebám budoucího obchodního centra</w:t>
      </w:r>
      <w:r w:rsidRPr="00AF25A8">
        <w:rPr>
          <w:rFonts w:ascii="Times New Roman" w:hAnsi="Times New Roman" w:cs="Times New Roman"/>
          <w:sz w:val="24"/>
        </w:rPr>
        <w:t>.“</w:t>
      </w:r>
      <w:r w:rsidRPr="00AF25A8">
        <w:rPr>
          <w:rFonts w:ascii="Times New Roman" w:hAnsi="Times New Roman" w:cs="Times New Roman"/>
          <w:sz w:val="24"/>
          <w:vertAlign w:val="superscript"/>
        </w:rPr>
        <w:footnoteReference w:id="16"/>
      </w:r>
      <w:r w:rsidRPr="00AF25A8">
        <w:rPr>
          <w:rFonts w:ascii="Times New Roman" w:hAnsi="Times New Roman" w:cs="Times New Roman"/>
          <w:sz w:val="24"/>
        </w:rPr>
        <w:t xml:space="preserve"> Naproti tomu ale tato poloha, umocněná navíc blízkostí autobusového nádraží, představovala sama o sobě významný argument přímo podporující navrhovaný stavební záměr. Rovněž tak z hlediska statiky byly všechny důležité konstrukční prvky shledány ve vyhovujícím stavu a drobné trhliny v cihlovém zdivu nepředstavovaly závažnější problém.</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 xml:space="preserve">Uvedené celková zachovalost věznice a dobrá situace z hlediska statiky dovolovala vypracování dvou variant řešení budoucího vzhledu a vnitřního využití, které byly pragmaticky označeny písmeny „A“ a „B“. Nejprve tedy k první z nich. Ta předpokládala, </w:t>
      </w:r>
      <w:r w:rsidRPr="00AF25A8">
        <w:rPr>
          <w:rFonts w:ascii="Times New Roman" w:hAnsi="Times New Roman" w:cs="Times New Roman"/>
          <w:sz w:val="24"/>
        </w:rPr>
        <w:lastRenderedPageBreak/>
        <w:t xml:space="preserve">že areál zůstane bez větších demoličních zásahů s výjimkou objektu nazývaného „Samotky“, což se ovšem týkalo i druhé možnosti rekonstrukce. Hlavní vstup směřoval západně k plánovanému obchodnímu centru, kde se rovněž měly nacházet zastávky MHD. Zásadní změna vzhledu by se dotkla pouze severního průčelí přistavením nového objektu a zřízením odpočinkové areálu se zelení a vodní plochou. Východní křídlo pak čekaly úpravy z hlediska uspořádání interiérů kvůli umístění nutného strojního vybavení. Počítalo se rovněž s výstavbou samostatně stojící jídelny spojené s vlastním komplexem zastřešeným můstkem v prvním patře. Chybět samozřejmě nesměly ani zásobovací výtahy. </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Velkoryse projektované vnitřní uspořádání budovy mělo přinést komplexní řešení služeb pro široké okolí. Na co se tedy obyvatelé města mohli těšit? V přízemí by při realizaci rekonstrukce objektu byla chemická čistírna, prádelna, čištění koberců, rámování, dále pak malířské a natěračské dílny. První patro slibovalo oděvy, kožešnictví, šití přikrývek, provaznictví, opravu deštníků, knihařské služby, elektroprodejnu, cyklistické potřeby a kino. Druhé patro pak bylo vyhrazeno administrativě pro celý okres, archivu, telefonní ústředně a zasedací místnosti.</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Samostatně stojící objekt v Soudní ulici, který tehdy sloužil jako školní družina, měl být doplňujícím zázemím areálu, zahrnujícím energocentrálu společně s dalšími kancelářemi a lékařským střediskem. Se zmíněnou nově postavenou budovou jídelny bylo počítáno v blízkosti autobusového nádraží. Prostor plánovaný pro 100 lidí s kapacitou 500 obědů, který by doplňovalo ještě kadeřnictví v prvním patře, by pravděpodobně patřil k nejvytíženějším a uvedená poloha se proto jevila jako nejvhodnější.</w:t>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Naproti tomu varianta „B“ zahrnovala výrazné stavební zásahy do vzhledu objektu. Počítala totiž s novou zástavbou na severní a západní straně areálu, jejíž součástí by byla i demolice přesahujících křídel východního a západního průčelí, společně se samostatných objektem stojícím směrem k náměstí Palackého. Vnitřní uspořádání hlavní budovy a novostavby jídelny by se pak nelišilo od první popsané možnosti rekonstrukce.  Jak je vidět, oba návrhy představovaly snahy o smysluplné využití postupně chátrajícího areálu, které by mohly přinést užitek obyvatelům města i širokého okolí. Z dostupných archiválií však nevyplývá, proč k realizaci nakonec nedošlo, pročež se lze jen domnívat, že hlavním důvodem se stal nedostatek finančních prostředků hlavního investora, jímž se měl stát ONV v Uherském Hradišti.</w:t>
      </w:r>
      <w:r w:rsidRPr="00AF25A8">
        <w:rPr>
          <w:rFonts w:ascii="Times New Roman" w:hAnsi="Times New Roman" w:cs="Times New Roman"/>
          <w:sz w:val="24"/>
          <w:vertAlign w:val="superscript"/>
        </w:rPr>
        <w:footnoteReference w:id="17"/>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lastRenderedPageBreak/>
        <w:t>Jednání, k nimž došlo v roce 1981, tedy nakonec nepřinesla žádný zásadní výsledek. Zanedlouho se však objevila další možnost, jak bývalý vězeňský areál využít ve prospěch široké veřejnosti. V polovině 80. let 20. st. se dalším zájemcem o objekt stal Okresní ústav národního zdraví v Uherském Hradišti. Účel, jemuž by v budoucnu sloužil, je tak zřejmý, měla v něm být zřízena rozsáhlá nemocnice. Posouzení vhodnosti budovy a jejího stavu opět připadlo výše jmenovanému akademickému architektovi J. Palackému. Podle jeho slov celý komplex splňoval všechna potřebná kritéria, mezi něž patřil ještě stále přetrvávající dobrý technický stav, dostatečně pevné zdi a stropy vyhovující umístění potřebného lékařského vybavení a v neposlední řadě i příznivá poloha v blízkosti autobusového nádraží, což zvyšovalo komfort dopravy pacientů.</w:t>
      </w:r>
      <w:r w:rsidRPr="00AF25A8">
        <w:rPr>
          <w:rFonts w:ascii="Times New Roman" w:hAnsi="Times New Roman" w:cs="Times New Roman"/>
          <w:sz w:val="24"/>
          <w:vertAlign w:val="superscript"/>
        </w:rPr>
        <w:footnoteReference w:id="18"/>
      </w:r>
      <w:r w:rsidRPr="00AF25A8">
        <w:rPr>
          <w:rFonts w:ascii="Times New Roman" w:hAnsi="Times New Roman" w:cs="Times New Roman"/>
          <w:sz w:val="24"/>
        </w:rPr>
        <w:t xml:space="preserve"> Avšak ani tento plán nakonec nebyl uveden v život. Jisté ale je, že namísto plánovaného zdravotnického zařízení sloužil v druhé polovině 80. let 20. století jako dočasný depot části fondů okresního archivu, pro jehož účely v té době rekonstruovali bývalý františkánský klášter.</w:t>
      </w:r>
      <w:r w:rsidRPr="00AF25A8">
        <w:rPr>
          <w:rFonts w:ascii="Times New Roman" w:hAnsi="Times New Roman" w:cs="Times New Roman"/>
          <w:sz w:val="24"/>
          <w:vertAlign w:val="superscript"/>
        </w:rPr>
        <w:footnoteReference w:id="19"/>
      </w: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Mimo vymezený tematický okruh se již nacházejí události navazující po roce 1989. Budou proto na závěr zmíněny jen okrajově. Tehdy došlo v rámci přípravy nové koncepce českého vězeňství ke snaze o znovuzřízení ústavu sloužícího jako vazební věznice. Avšak po rozsáhlých jednáních nebyl tento úmysl realizován, což může být z dnešního hlediska nahlíženo dvěma způsoby. Jednak se nabízí úvaha směřující k tomu, že pokud se budova proslulá týráním uvězněných, znovu neproměnila ve veřejnosti uzavřený areál, může v současnosti sloužit jako pietní prostor věnovaný uctění památky obětí obou totalit. Za druhé ale nelze opomenout to, že v případě opětovného využití ke svému původnímu účelu by pravděpodobně skýtala řadu pracovních příležitostí pro přilehlý region, což dnes nelze zcela opomíjet.</w:t>
      </w:r>
    </w:p>
    <w:p w:rsidR="00AF25A8" w:rsidRPr="00AF25A8" w:rsidRDefault="00AF25A8" w:rsidP="00AF25A8">
      <w:pPr>
        <w:spacing w:line="360" w:lineRule="auto"/>
        <w:contextualSpacing/>
        <w:jc w:val="both"/>
        <w:rPr>
          <w:rFonts w:ascii="Times New Roman" w:hAnsi="Times New Roman" w:cs="Times New Roman"/>
          <w:b/>
          <w:sz w:val="24"/>
        </w:rPr>
      </w:pPr>
    </w:p>
    <w:p w:rsidR="00AF25A8" w:rsidRPr="00AF25A8" w:rsidRDefault="00AF25A8" w:rsidP="00AF25A8">
      <w:pPr>
        <w:spacing w:line="360" w:lineRule="auto"/>
        <w:contextualSpacing/>
        <w:rPr>
          <w:rFonts w:ascii="Times New Roman" w:hAnsi="Times New Roman" w:cs="Times New Roman"/>
          <w:b/>
          <w:sz w:val="24"/>
        </w:rPr>
      </w:pPr>
      <w:r w:rsidRPr="00AF25A8">
        <w:rPr>
          <w:rFonts w:ascii="Times New Roman" w:hAnsi="Times New Roman" w:cs="Times New Roman"/>
          <w:b/>
          <w:sz w:val="24"/>
        </w:rPr>
        <w:t>Anotace</w:t>
      </w:r>
    </w:p>
    <w:p w:rsidR="00AF25A8" w:rsidRPr="00AF25A8" w:rsidRDefault="00AF25A8" w:rsidP="00AF25A8">
      <w:pPr>
        <w:spacing w:line="360" w:lineRule="auto"/>
        <w:contextualSpacing/>
        <w:jc w:val="both"/>
        <w:rPr>
          <w:rFonts w:ascii="Times New Roman" w:hAnsi="Times New Roman" w:cs="Times New Roman"/>
          <w:sz w:val="24"/>
        </w:rPr>
      </w:pPr>
      <w:r w:rsidRPr="00AF25A8">
        <w:rPr>
          <w:rFonts w:ascii="Times New Roman" w:hAnsi="Times New Roman" w:cs="Times New Roman"/>
          <w:sz w:val="24"/>
        </w:rPr>
        <w:tab/>
        <w:t>Nejedno vězeňské zařízení sloužilo svému účelu jen po určitý čas, byť se mohlo jednat i o několik století. Jedním z nich byla i krajská soudní věznice v Uherském Hradiště, jejíž činnost byla ukončena v rámci územněsprávních reforem na počátku 60. let 20. století. Úkolem předkládaného příspěvku je ukázat, jaké návrhy a plány na další využití objektu přineslo názvem studie vymezené časové rozmezí</w:t>
      </w:r>
    </w:p>
    <w:p w:rsidR="00AF25A8" w:rsidRPr="00AF25A8" w:rsidRDefault="00AF25A8" w:rsidP="00AF25A8">
      <w:pPr>
        <w:spacing w:line="360" w:lineRule="auto"/>
        <w:contextualSpacing/>
        <w:jc w:val="center"/>
        <w:rPr>
          <w:rFonts w:ascii="Times New Roman" w:hAnsi="Times New Roman" w:cs="Times New Roman"/>
          <w:b/>
          <w:sz w:val="24"/>
        </w:rPr>
      </w:pPr>
    </w:p>
    <w:p w:rsidR="00AF25A8" w:rsidRPr="00AF25A8" w:rsidRDefault="00AF25A8" w:rsidP="00AF25A8">
      <w:pPr>
        <w:spacing w:line="360" w:lineRule="auto"/>
        <w:contextualSpacing/>
        <w:jc w:val="both"/>
        <w:rPr>
          <w:rFonts w:ascii="Times New Roman" w:hAnsi="Times New Roman" w:cs="Times New Roman"/>
          <w:b/>
          <w:sz w:val="24"/>
        </w:rPr>
      </w:pPr>
    </w:p>
    <w:p w:rsidR="00AF25A8" w:rsidRPr="00AF25A8" w:rsidRDefault="00AF25A8" w:rsidP="00AF25A8">
      <w:pPr>
        <w:spacing w:line="360" w:lineRule="auto"/>
        <w:contextualSpacing/>
        <w:jc w:val="both"/>
        <w:rPr>
          <w:rFonts w:ascii="Times New Roman" w:hAnsi="Times New Roman" w:cs="Times New Roman"/>
          <w:b/>
          <w:sz w:val="24"/>
        </w:rPr>
      </w:pPr>
    </w:p>
    <w:p w:rsidR="00AF25A8" w:rsidRPr="00AF25A8" w:rsidRDefault="00AF25A8" w:rsidP="00AF25A8">
      <w:pPr>
        <w:spacing w:line="360" w:lineRule="auto"/>
        <w:contextualSpacing/>
        <w:jc w:val="both"/>
        <w:rPr>
          <w:rFonts w:ascii="Times New Roman" w:hAnsi="Times New Roman" w:cs="Times New Roman"/>
          <w:b/>
          <w:sz w:val="24"/>
        </w:rPr>
      </w:pPr>
      <w:r w:rsidRPr="00AF25A8">
        <w:rPr>
          <w:rFonts w:ascii="Times New Roman" w:hAnsi="Times New Roman" w:cs="Times New Roman"/>
          <w:b/>
          <w:sz w:val="24"/>
        </w:rPr>
        <w:t>Použité prameny a literatura</w:t>
      </w:r>
    </w:p>
    <w:p w:rsidR="00AF25A8" w:rsidRPr="00AF25A8" w:rsidRDefault="00AF25A8" w:rsidP="00AF25A8">
      <w:pPr>
        <w:spacing w:line="360" w:lineRule="auto"/>
        <w:contextualSpacing/>
        <w:jc w:val="both"/>
        <w:rPr>
          <w:rFonts w:ascii="Palatino Linotype" w:hAnsi="Palatino Linotype"/>
          <w:sz w:val="24"/>
        </w:rPr>
      </w:pP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sz w:val="24"/>
        </w:rPr>
        <w:t>Státní okresní archiv Uherské Hradiště, f. ONV Uherské Hradiště:</w:t>
      </w:r>
    </w:p>
    <w:p w:rsidR="00AF25A8" w:rsidRPr="00AF25A8" w:rsidRDefault="00AF25A8" w:rsidP="00AF25A8">
      <w:pPr>
        <w:numPr>
          <w:ilvl w:val="0"/>
          <w:numId w:val="1"/>
        </w:numPr>
        <w:spacing w:line="360" w:lineRule="auto"/>
        <w:contextualSpacing/>
        <w:jc w:val="both"/>
        <w:rPr>
          <w:rFonts w:ascii="Palatino Linotype" w:hAnsi="Palatino Linotype"/>
          <w:sz w:val="24"/>
        </w:rPr>
      </w:pPr>
      <w:r w:rsidRPr="00AF25A8">
        <w:rPr>
          <w:rFonts w:ascii="Palatino Linotype" w:hAnsi="Palatino Linotype"/>
          <w:sz w:val="24"/>
        </w:rPr>
        <w:t>inv. č. 1153, kart. 2087.</w:t>
      </w:r>
    </w:p>
    <w:p w:rsidR="00AF25A8" w:rsidRPr="00AF25A8" w:rsidRDefault="00AF25A8" w:rsidP="00AF25A8">
      <w:pPr>
        <w:numPr>
          <w:ilvl w:val="0"/>
          <w:numId w:val="1"/>
        </w:numPr>
        <w:spacing w:line="360" w:lineRule="auto"/>
        <w:contextualSpacing/>
        <w:jc w:val="both"/>
        <w:rPr>
          <w:rFonts w:ascii="Palatino Linotype" w:hAnsi="Palatino Linotype"/>
          <w:sz w:val="24"/>
        </w:rPr>
      </w:pPr>
      <w:r w:rsidRPr="00AF25A8">
        <w:rPr>
          <w:rFonts w:ascii="Palatino Linotype" w:hAnsi="Palatino Linotype"/>
          <w:sz w:val="24"/>
        </w:rPr>
        <w:t>inv. č. 795, kart. 1186.</w:t>
      </w: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sz w:val="24"/>
        </w:rPr>
        <w:t>Rozhovor s akad. arch. Janem Palackým, 26. 3. 2013.</w:t>
      </w:r>
    </w:p>
    <w:p w:rsidR="00AF25A8" w:rsidRPr="00AF25A8" w:rsidRDefault="00AF25A8" w:rsidP="00AF25A8">
      <w:pPr>
        <w:spacing w:line="360" w:lineRule="auto"/>
        <w:contextualSpacing/>
        <w:jc w:val="both"/>
        <w:rPr>
          <w:rFonts w:ascii="Palatino Linotype" w:hAnsi="Palatino Linotype"/>
          <w:sz w:val="24"/>
        </w:rPr>
      </w:pP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sz w:val="24"/>
        </w:rPr>
        <w:t>Digitální repozitář Poslanecké sněmovny Parlamentu ČR, Národní shromáždění republiky Československé, stenoprotokol 33. schůze z 9. 7. 1959 [online], Html. ed., http://www.psp.cz/eknih/1954ns/stenprot/033schuz/s033028.htm</w:t>
      </w:r>
    </w:p>
    <w:p w:rsidR="00AF25A8" w:rsidRPr="00AF25A8" w:rsidRDefault="00AF25A8" w:rsidP="00AF25A8">
      <w:pPr>
        <w:spacing w:line="360" w:lineRule="auto"/>
        <w:contextualSpacing/>
        <w:jc w:val="both"/>
        <w:rPr>
          <w:rFonts w:ascii="Palatino Linotype" w:hAnsi="Palatino Linotype"/>
          <w:sz w:val="24"/>
        </w:rPr>
      </w:pP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sz w:val="24"/>
        </w:rPr>
        <w:t xml:space="preserve">ČOUPEK, J. </w:t>
      </w:r>
      <w:r w:rsidRPr="00AF25A8">
        <w:rPr>
          <w:rFonts w:ascii="Palatino Linotype" w:hAnsi="Palatino Linotype"/>
          <w:i/>
          <w:sz w:val="24"/>
        </w:rPr>
        <w:t>50. let Státního okresního archivu v Uherském Hradišti</w:t>
      </w:r>
      <w:r w:rsidRPr="00AF25A8">
        <w:rPr>
          <w:rFonts w:ascii="Palatino Linotype" w:hAnsi="Palatino Linotype"/>
          <w:sz w:val="24"/>
        </w:rPr>
        <w:t>. Uherské Hradiště 1997.</w:t>
      </w:r>
    </w:p>
    <w:p w:rsidR="00AF25A8" w:rsidRPr="00AF25A8" w:rsidRDefault="00AF25A8" w:rsidP="00AF25A8">
      <w:pPr>
        <w:spacing w:line="360" w:lineRule="auto"/>
        <w:contextualSpacing/>
        <w:jc w:val="both"/>
        <w:rPr>
          <w:rFonts w:ascii="Palatino Linotype" w:hAnsi="Palatino Linotype"/>
          <w:i/>
          <w:sz w:val="24"/>
        </w:rPr>
      </w:pPr>
      <w:r w:rsidRPr="00AF25A8">
        <w:rPr>
          <w:rFonts w:ascii="Palatino Linotype" w:hAnsi="Palatino Linotype"/>
          <w:sz w:val="24"/>
        </w:rPr>
        <w:t xml:space="preserve">PURDEŠ, V. </w:t>
      </w:r>
      <w:r w:rsidRPr="00AF25A8">
        <w:rPr>
          <w:rFonts w:ascii="Palatino Linotype" w:hAnsi="Palatino Linotype"/>
          <w:i/>
          <w:sz w:val="24"/>
        </w:rPr>
        <w:t>Skuteč</w:t>
      </w:r>
      <w:r w:rsidRPr="00AF25A8">
        <w:rPr>
          <w:rFonts w:ascii="Palatino Linotype" w:hAnsi="Palatino Linotype"/>
          <w:sz w:val="24"/>
        </w:rPr>
        <w:t>. Zpravodaj SNV ČSR, říjen 1978.</w:t>
      </w: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i/>
          <w:sz w:val="24"/>
        </w:rPr>
        <w:t>Sám voják v poli</w:t>
      </w:r>
      <w:r w:rsidRPr="00AF25A8">
        <w:rPr>
          <w:rFonts w:ascii="Palatino Linotype" w:hAnsi="Palatino Linotype"/>
          <w:sz w:val="24"/>
        </w:rPr>
        <w:t>. Bezpečnost, č. 4, roč. 29/1975.</w:t>
      </w:r>
    </w:p>
    <w:p w:rsidR="00AF25A8" w:rsidRPr="00AF25A8" w:rsidRDefault="00AF25A8" w:rsidP="00AF25A8">
      <w:pPr>
        <w:spacing w:line="360" w:lineRule="auto"/>
        <w:contextualSpacing/>
        <w:jc w:val="both"/>
        <w:rPr>
          <w:rFonts w:ascii="Palatino Linotype" w:hAnsi="Palatino Linotype"/>
          <w:sz w:val="24"/>
        </w:rPr>
      </w:pPr>
    </w:p>
    <w:p w:rsidR="00AF25A8" w:rsidRPr="00AF25A8" w:rsidRDefault="00AF25A8" w:rsidP="00AF25A8">
      <w:pPr>
        <w:spacing w:line="360" w:lineRule="auto"/>
        <w:contextualSpacing/>
        <w:jc w:val="both"/>
        <w:rPr>
          <w:rFonts w:ascii="Palatino Linotype" w:hAnsi="Palatino Linotype"/>
          <w:sz w:val="24"/>
        </w:rPr>
      </w:pPr>
      <w:r w:rsidRPr="00AF25A8">
        <w:rPr>
          <w:rFonts w:ascii="Palatino Linotype" w:hAnsi="Palatino Linotype"/>
          <w:sz w:val="24"/>
        </w:rPr>
        <w:t>Zák. č. 41/1960 Sb. o sídlech a obvodech lidových soudů a sídlech o obvodech krajských soudů.</w:t>
      </w:r>
    </w:p>
    <w:p w:rsidR="00AF25A8" w:rsidRPr="00AF25A8" w:rsidRDefault="00AF25A8" w:rsidP="00AF25A8">
      <w:pPr>
        <w:spacing w:line="360" w:lineRule="auto"/>
        <w:contextualSpacing/>
        <w:jc w:val="both"/>
        <w:rPr>
          <w:rFonts w:ascii="Times New Roman" w:hAnsi="Times New Roman" w:cs="Times New Roman"/>
          <w:b/>
          <w:sz w:val="24"/>
        </w:rPr>
      </w:pPr>
      <w:r w:rsidRPr="00AF25A8">
        <w:rPr>
          <w:rFonts w:ascii="Palatino Linotype" w:hAnsi="Palatino Linotype"/>
          <w:sz w:val="24"/>
        </w:rPr>
        <w:t>Zák. č. 52/1959 Sb. o osvětové činnosti.</w:t>
      </w:r>
    </w:p>
    <w:p w:rsidR="00AF25A8" w:rsidRPr="00AF25A8" w:rsidRDefault="00AF25A8" w:rsidP="00AF25A8">
      <w:pPr>
        <w:spacing w:line="360" w:lineRule="auto"/>
        <w:ind w:firstLine="708"/>
        <w:contextualSpacing/>
        <w:jc w:val="both"/>
        <w:rPr>
          <w:rFonts w:ascii="Times New Roman" w:hAnsi="Times New Roman" w:cs="Times New Roman"/>
          <w:sz w:val="24"/>
        </w:rPr>
      </w:pPr>
    </w:p>
    <w:p w:rsidR="00AF25A8" w:rsidRPr="00AF25A8" w:rsidRDefault="00AF25A8" w:rsidP="00AF25A8">
      <w:pPr>
        <w:spacing w:line="360" w:lineRule="auto"/>
        <w:ind w:firstLine="708"/>
        <w:contextualSpacing/>
        <w:jc w:val="both"/>
        <w:rPr>
          <w:rFonts w:ascii="Times New Roman" w:hAnsi="Times New Roman" w:cs="Times New Roman"/>
          <w:sz w:val="24"/>
        </w:rPr>
      </w:pPr>
      <w:r w:rsidRPr="00AF25A8">
        <w:rPr>
          <w:rFonts w:ascii="Times New Roman" w:hAnsi="Times New Roman" w:cs="Times New Roman"/>
          <w:sz w:val="24"/>
        </w:rPr>
        <w:t xml:space="preserve"> </w:t>
      </w:r>
    </w:p>
    <w:p w:rsidR="00D662E3" w:rsidRDefault="00D662E3">
      <w:bookmarkStart w:id="0" w:name="_GoBack"/>
      <w:bookmarkEnd w:id="0"/>
    </w:p>
    <w:sectPr w:rsidR="00D662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21" w:rsidRDefault="00747921" w:rsidP="00AF25A8">
      <w:pPr>
        <w:spacing w:after="0" w:line="240" w:lineRule="auto"/>
      </w:pPr>
      <w:r>
        <w:separator/>
      </w:r>
    </w:p>
  </w:endnote>
  <w:endnote w:type="continuationSeparator" w:id="0">
    <w:p w:rsidR="00747921" w:rsidRDefault="00747921" w:rsidP="00AF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775118"/>
      <w:docPartObj>
        <w:docPartGallery w:val="Page Numbers (Bottom of Page)"/>
        <w:docPartUnique/>
      </w:docPartObj>
    </w:sdtPr>
    <w:sdtEndPr>
      <w:rPr>
        <w:sz w:val="20"/>
        <w:szCs w:val="20"/>
      </w:rPr>
    </w:sdtEndPr>
    <w:sdtContent>
      <w:p w:rsidR="003E4C87" w:rsidRPr="003E4C87" w:rsidRDefault="00747921">
        <w:pPr>
          <w:pStyle w:val="Zpat"/>
          <w:jc w:val="center"/>
          <w:rPr>
            <w:sz w:val="20"/>
            <w:szCs w:val="20"/>
          </w:rPr>
        </w:pPr>
        <w:r w:rsidRPr="003E4C87">
          <w:rPr>
            <w:sz w:val="20"/>
            <w:szCs w:val="20"/>
          </w:rPr>
          <w:fldChar w:fldCharType="begin"/>
        </w:r>
        <w:r w:rsidRPr="003E4C87">
          <w:rPr>
            <w:sz w:val="20"/>
            <w:szCs w:val="20"/>
          </w:rPr>
          <w:instrText>PAGE   \* MERGEFORMAT</w:instrText>
        </w:r>
        <w:r w:rsidRPr="003E4C87">
          <w:rPr>
            <w:sz w:val="20"/>
            <w:szCs w:val="20"/>
          </w:rPr>
          <w:fldChar w:fldCharType="separate"/>
        </w:r>
        <w:r w:rsidR="00AF25A8">
          <w:rPr>
            <w:noProof/>
            <w:sz w:val="20"/>
            <w:szCs w:val="20"/>
          </w:rPr>
          <w:t>8</w:t>
        </w:r>
        <w:r w:rsidRPr="003E4C87">
          <w:rPr>
            <w:sz w:val="20"/>
            <w:szCs w:val="20"/>
          </w:rPr>
          <w:fldChar w:fldCharType="end"/>
        </w:r>
      </w:p>
    </w:sdtContent>
  </w:sdt>
  <w:p w:rsidR="003E4C87" w:rsidRDefault="007479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21" w:rsidRDefault="00747921" w:rsidP="00AF25A8">
      <w:pPr>
        <w:spacing w:after="0" w:line="240" w:lineRule="auto"/>
      </w:pPr>
      <w:r>
        <w:separator/>
      </w:r>
    </w:p>
  </w:footnote>
  <w:footnote w:type="continuationSeparator" w:id="0">
    <w:p w:rsidR="00747921" w:rsidRDefault="00747921" w:rsidP="00AF25A8">
      <w:pPr>
        <w:spacing w:after="0" w:line="240" w:lineRule="auto"/>
      </w:pPr>
      <w:r>
        <w:continuationSeparator/>
      </w:r>
    </w:p>
  </w:footnote>
  <w:footnote w:id="1">
    <w:p w:rsidR="00AF25A8" w:rsidRPr="00217D41" w:rsidRDefault="00AF25A8" w:rsidP="00AF25A8">
      <w:pPr>
        <w:pStyle w:val="Textpoznpodarou"/>
        <w:ind w:firstLine="0"/>
      </w:pPr>
      <w:r>
        <w:rPr>
          <w:rStyle w:val="Znakapoznpodarou"/>
        </w:rPr>
        <w:footnoteRef/>
      </w:r>
      <w:r>
        <w:t xml:space="preserve"> K historii loketské věznice blíže: HLADÍK, O. </w:t>
      </w:r>
      <w:r>
        <w:rPr>
          <w:i/>
        </w:rPr>
        <w:t>Loketská věznice, středověký hrad ve službách justice</w:t>
      </w:r>
      <w:r>
        <w:t>. Historická penologie 3/2011, s. 1-14.</w:t>
      </w:r>
    </w:p>
  </w:footnote>
  <w:footnote w:id="2">
    <w:p w:rsidR="00AF25A8" w:rsidRDefault="00AF25A8" w:rsidP="00AF25A8">
      <w:pPr>
        <w:pStyle w:val="Textpoznpodarou"/>
        <w:ind w:firstLine="0"/>
      </w:pPr>
      <w:r>
        <w:rPr>
          <w:rStyle w:val="Znakapoznpodarou"/>
        </w:rPr>
        <w:footnoteRef/>
      </w:r>
      <w:r>
        <w:t xml:space="preserve"> Stejně bezútěšně působí například i chátrající krajská soudní věznice v Mladé Boleslavi, která je rovněž součástí jen zčásti využívaného rozsáhlejšího justičního komplexu.</w:t>
      </w:r>
    </w:p>
  </w:footnote>
  <w:footnote w:id="3">
    <w:p w:rsidR="00AF25A8" w:rsidRDefault="00AF25A8" w:rsidP="00AF25A8">
      <w:pPr>
        <w:pStyle w:val="Textpoznpodarou"/>
        <w:ind w:firstLine="0"/>
      </w:pPr>
      <w:r>
        <w:rPr>
          <w:rStyle w:val="Znakapoznpodarou"/>
        </w:rPr>
        <w:footnoteRef/>
      </w:r>
      <w:r>
        <w:t xml:space="preserve"> Zák. č. 41/1960 Sb. o sídlech a obvodech lidových soudů a sídlech o obvodech krajských soudů k tomu v § 1 uvádí následující: „…</w:t>
      </w:r>
      <w:r>
        <w:rPr>
          <w:i/>
        </w:rPr>
        <w:t>sídla a obvody krajských soudů se shodují se sídly krajských národních výborů stanovenými podle zákona ze dne 9. dubna 1960 č. 36 Sb. o územním členění státu.</w:t>
      </w:r>
      <w:r>
        <w:t>“</w:t>
      </w:r>
      <w:r>
        <w:rPr>
          <w:i/>
        </w:rPr>
        <w:t xml:space="preserve"> </w:t>
      </w:r>
      <w:r>
        <w:t xml:space="preserve"> </w:t>
      </w:r>
    </w:p>
  </w:footnote>
  <w:footnote w:id="4">
    <w:p w:rsidR="00AF25A8" w:rsidRDefault="00AF25A8" w:rsidP="00AF25A8">
      <w:pPr>
        <w:pStyle w:val="Textpoznpodarou"/>
        <w:ind w:firstLine="0"/>
      </w:pPr>
      <w:r>
        <w:rPr>
          <w:rStyle w:val="Znakapoznpodarou"/>
        </w:rPr>
        <w:footnoteRef/>
      </w:r>
      <w:r>
        <w:t xml:space="preserve"> Státní okresní archiv Uherské Hradiště (SOkA Uherské Hradiště), f. ONV Uherské Hradiště, inv. č. 1153, kart. 2087, návrh na využití objektu věznice a soudu z 19. 3. 1964. </w:t>
      </w:r>
    </w:p>
  </w:footnote>
  <w:footnote w:id="5">
    <w:p w:rsidR="00AF25A8" w:rsidRPr="006C3456" w:rsidRDefault="00AF25A8" w:rsidP="00AF25A8">
      <w:pPr>
        <w:pStyle w:val="Textpoznpodarou"/>
        <w:ind w:firstLine="0"/>
      </w:pPr>
      <w:r>
        <w:rPr>
          <w:rStyle w:val="Znakapoznpodarou"/>
        </w:rPr>
        <w:footnoteRef/>
      </w:r>
      <w:r>
        <w:t xml:space="preserve"> </w:t>
      </w:r>
      <w:r>
        <w:rPr>
          <w:i/>
        </w:rPr>
        <w:t>Sám voják v poli</w:t>
      </w:r>
      <w:r>
        <w:t>. Bezpečnost, č. 4, roč. 29/1975, s. 6.</w:t>
      </w:r>
    </w:p>
  </w:footnote>
  <w:footnote w:id="6">
    <w:p w:rsidR="00AF25A8" w:rsidRDefault="00AF25A8" w:rsidP="00AF25A8">
      <w:pPr>
        <w:pStyle w:val="Textpoznpodarou"/>
        <w:ind w:firstLine="0"/>
      </w:pPr>
      <w:r>
        <w:rPr>
          <w:rStyle w:val="Znakapoznpodarou"/>
        </w:rPr>
        <w:footnoteRef/>
      </w:r>
      <w:r>
        <w:t xml:space="preserve"> Tamtéž.</w:t>
      </w:r>
    </w:p>
  </w:footnote>
  <w:footnote w:id="7">
    <w:p w:rsidR="00AF25A8" w:rsidRDefault="00AF25A8" w:rsidP="00AF25A8">
      <w:pPr>
        <w:pStyle w:val="Textpoznpodarou"/>
        <w:ind w:firstLine="0"/>
      </w:pPr>
      <w:r>
        <w:rPr>
          <w:rStyle w:val="Znakapoznpodarou"/>
        </w:rPr>
        <w:footnoteRef/>
      </w:r>
      <w:r>
        <w:t xml:space="preserve"> Zák. č. 52/1959 Sb. o osvětové činnosti, § 8, odst. 1 a 2.</w:t>
      </w:r>
    </w:p>
  </w:footnote>
  <w:footnote w:id="8">
    <w:p w:rsidR="00AF25A8" w:rsidRDefault="00AF25A8" w:rsidP="00AF25A8">
      <w:pPr>
        <w:pStyle w:val="Textpoznpodarou"/>
        <w:ind w:firstLine="0"/>
      </w:pPr>
      <w:r>
        <w:rPr>
          <w:rStyle w:val="Znakapoznpodarou"/>
        </w:rPr>
        <w:footnoteRef/>
      </w:r>
      <w:r>
        <w:t xml:space="preserve"> Digitální repozitář Poslanecké sněmovny Parlamentu ČR, Národní shromáždění republiky Československé, stenoprotokol 33. schůze z 9. 7. 1959 [online], Html. ed., [citováno 9. 3. 2013], </w:t>
      </w:r>
      <w:r w:rsidRPr="007A00D2">
        <w:t>http://www.psp.cz/eknih/1954ns/stenprot/033schuz/s033028.htm</w:t>
      </w:r>
    </w:p>
  </w:footnote>
  <w:footnote w:id="9">
    <w:p w:rsidR="00AF25A8" w:rsidRDefault="00AF25A8" w:rsidP="00AF25A8">
      <w:pPr>
        <w:pStyle w:val="Textpoznpodarou"/>
        <w:ind w:firstLine="0"/>
      </w:pPr>
      <w:r>
        <w:rPr>
          <w:rStyle w:val="Znakapoznpodarou"/>
        </w:rPr>
        <w:footnoteRef/>
      </w:r>
      <w:r>
        <w:t xml:space="preserve"> Zák. č. 52/1959 Sb. o osvětové činnosti, § 8, odst. 2.</w:t>
      </w:r>
    </w:p>
  </w:footnote>
  <w:footnote w:id="10">
    <w:p w:rsidR="00AF25A8" w:rsidRDefault="00AF25A8" w:rsidP="00AF25A8">
      <w:pPr>
        <w:pStyle w:val="Textpoznpodarou"/>
        <w:ind w:firstLine="0"/>
      </w:pPr>
      <w:r>
        <w:rPr>
          <w:rStyle w:val="Znakapoznpodarou"/>
        </w:rPr>
        <w:footnoteRef/>
      </w:r>
      <w:r>
        <w:t xml:space="preserve"> SOkA Uherské Hradiště, citovaný pramen.</w:t>
      </w:r>
    </w:p>
  </w:footnote>
  <w:footnote w:id="11">
    <w:p w:rsidR="00AF25A8" w:rsidRDefault="00AF25A8" w:rsidP="00AF25A8">
      <w:pPr>
        <w:pStyle w:val="Textpoznpodarou"/>
        <w:ind w:firstLine="0"/>
      </w:pPr>
      <w:r>
        <w:rPr>
          <w:rStyle w:val="Znakapoznpodarou"/>
        </w:rPr>
        <w:footnoteRef/>
      </w:r>
      <w:r>
        <w:t xml:space="preserve"> Tamtéž, návrh na využití objektu věznice a soudu z 19. 3. 1964; informační dopis z 23. 3. 1964.</w:t>
      </w:r>
    </w:p>
  </w:footnote>
  <w:footnote w:id="12">
    <w:p w:rsidR="00AF25A8" w:rsidRDefault="00AF25A8" w:rsidP="00AF25A8">
      <w:pPr>
        <w:pStyle w:val="Textpoznpodarou"/>
        <w:ind w:firstLine="0"/>
      </w:pPr>
      <w:r>
        <w:rPr>
          <w:rStyle w:val="Znakapoznpodarou"/>
        </w:rPr>
        <w:footnoteRef/>
      </w:r>
      <w:r>
        <w:t xml:space="preserve"> Tamtéž, rozpočet úpravy objektu ONV pro potřeby okresního soudu, prokuratury a notářství z 19. 3. 1964.</w:t>
      </w:r>
    </w:p>
  </w:footnote>
  <w:footnote w:id="13">
    <w:p w:rsidR="00AF25A8" w:rsidRDefault="00AF25A8" w:rsidP="00AF25A8">
      <w:pPr>
        <w:pStyle w:val="Textpoznpodarou"/>
        <w:ind w:firstLine="0"/>
      </w:pPr>
      <w:r>
        <w:rPr>
          <w:rStyle w:val="Znakapoznpodarou"/>
        </w:rPr>
        <w:footnoteRef/>
      </w:r>
      <w:r>
        <w:t xml:space="preserve"> Tamtéž, návrh na využití objektu věznice a soudu z 19. 3. 1964.</w:t>
      </w:r>
    </w:p>
  </w:footnote>
  <w:footnote w:id="14">
    <w:p w:rsidR="00AF25A8" w:rsidRPr="008131C8" w:rsidRDefault="00AF25A8" w:rsidP="00AF25A8">
      <w:pPr>
        <w:pStyle w:val="Textpoznpodarou"/>
        <w:ind w:firstLine="0"/>
      </w:pPr>
      <w:r>
        <w:rPr>
          <w:rStyle w:val="Znakapoznpodarou"/>
        </w:rPr>
        <w:footnoteRef/>
      </w:r>
      <w:r>
        <w:t xml:space="preserve"> PURDEŠ, V. </w:t>
      </w:r>
      <w:r>
        <w:rPr>
          <w:i/>
        </w:rPr>
        <w:t>Skuteč</w:t>
      </w:r>
      <w:r>
        <w:t>. Zpravodaj SNV ČSR, říjen 1978, s. 28-29.</w:t>
      </w:r>
    </w:p>
  </w:footnote>
  <w:footnote w:id="15">
    <w:p w:rsidR="00AF25A8" w:rsidRDefault="00AF25A8" w:rsidP="00AF25A8">
      <w:pPr>
        <w:pStyle w:val="Textpoznpodarou"/>
        <w:ind w:firstLine="0"/>
      </w:pPr>
      <w:r>
        <w:rPr>
          <w:rStyle w:val="Znakapoznpodarou"/>
        </w:rPr>
        <w:footnoteRef/>
      </w:r>
      <w:r>
        <w:t xml:space="preserve"> SOkA Uherské Hradiště, f. ONV Uherské Hradiště, inv. č. 795, kart. 1186, posouzení využití budovy bývalé věznice jako Domu služeb z března 1981.  </w:t>
      </w:r>
    </w:p>
  </w:footnote>
  <w:footnote w:id="16">
    <w:p w:rsidR="00AF25A8" w:rsidRDefault="00AF25A8" w:rsidP="00AF25A8">
      <w:pPr>
        <w:pStyle w:val="Textpoznpodarou"/>
        <w:ind w:firstLine="0"/>
      </w:pPr>
      <w:r>
        <w:rPr>
          <w:rStyle w:val="Znakapoznpodarou"/>
        </w:rPr>
        <w:footnoteRef/>
      </w:r>
      <w:r>
        <w:t xml:space="preserve"> Tamtéž.</w:t>
      </w:r>
    </w:p>
  </w:footnote>
  <w:footnote w:id="17">
    <w:p w:rsidR="00AF25A8" w:rsidRDefault="00AF25A8" w:rsidP="00AF25A8">
      <w:pPr>
        <w:pStyle w:val="Textpoznpodarou"/>
        <w:ind w:firstLine="0"/>
      </w:pPr>
      <w:r>
        <w:rPr>
          <w:rStyle w:val="Znakapoznpodarou"/>
        </w:rPr>
        <w:footnoteRef/>
      </w:r>
      <w:r>
        <w:t xml:space="preserve"> Tamtéž.</w:t>
      </w:r>
    </w:p>
  </w:footnote>
  <w:footnote w:id="18">
    <w:p w:rsidR="00AF25A8" w:rsidRDefault="00AF25A8" w:rsidP="00AF25A8">
      <w:pPr>
        <w:pStyle w:val="Textpoznpodarou"/>
        <w:ind w:firstLine="0"/>
      </w:pPr>
      <w:r>
        <w:rPr>
          <w:rStyle w:val="Znakapoznpodarou"/>
        </w:rPr>
        <w:footnoteRef/>
      </w:r>
      <w:r>
        <w:t xml:space="preserve"> Rozhovor s akad. arch. Janem Palackým uskutečněný autorem dne 26. 3. 2013.</w:t>
      </w:r>
    </w:p>
  </w:footnote>
  <w:footnote w:id="19">
    <w:p w:rsidR="00AF25A8" w:rsidRPr="008D3FED" w:rsidRDefault="00AF25A8" w:rsidP="00AF25A8">
      <w:pPr>
        <w:pStyle w:val="Textpoznpodarou"/>
        <w:ind w:firstLine="0"/>
      </w:pPr>
      <w:r>
        <w:rPr>
          <w:rStyle w:val="Znakapoznpodarou"/>
        </w:rPr>
        <w:footnoteRef/>
      </w:r>
      <w:r>
        <w:t xml:space="preserve"> ČOUPEK, J. </w:t>
      </w:r>
      <w:r>
        <w:rPr>
          <w:i/>
        </w:rPr>
        <w:t>50. let Státního okresního archivu v Uherském Hradišti</w:t>
      </w:r>
      <w:r>
        <w:t>. Uherské Hradiště 1997. s. 29-30.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C2DC8"/>
    <w:multiLevelType w:val="hybridMultilevel"/>
    <w:tmpl w:val="3D00883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B7"/>
    <w:rsid w:val="006F1CB7"/>
    <w:rsid w:val="00747921"/>
    <w:rsid w:val="00AF25A8"/>
    <w:rsid w:val="00D66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F25A8"/>
    <w:pPr>
      <w:spacing w:after="0" w:line="240" w:lineRule="auto"/>
      <w:ind w:firstLine="709"/>
      <w:contextualSpacing/>
      <w:jc w:val="both"/>
    </w:pPr>
    <w:rPr>
      <w:rFonts w:ascii="Palatino Linotype" w:hAnsi="Palatino Linotype"/>
      <w:sz w:val="20"/>
      <w:szCs w:val="20"/>
    </w:rPr>
  </w:style>
  <w:style w:type="character" w:customStyle="1" w:styleId="TextpoznpodarouChar">
    <w:name w:val="Text pozn. pod čarou Char"/>
    <w:basedOn w:val="Standardnpsmoodstavce"/>
    <w:link w:val="Textpoznpodarou"/>
    <w:uiPriority w:val="99"/>
    <w:semiHidden/>
    <w:rsid w:val="00AF25A8"/>
    <w:rPr>
      <w:rFonts w:ascii="Palatino Linotype" w:hAnsi="Palatino Linotype"/>
      <w:sz w:val="20"/>
      <w:szCs w:val="20"/>
    </w:rPr>
  </w:style>
  <w:style w:type="character" w:styleId="Znakapoznpodarou">
    <w:name w:val="footnote reference"/>
    <w:basedOn w:val="Standardnpsmoodstavce"/>
    <w:uiPriority w:val="99"/>
    <w:semiHidden/>
    <w:unhideWhenUsed/>
    <w:rsid w:val="00AF25A8"/>
    <w:rPr>
      <w:vertAlign w:val="superscript"/>
    </w:rPr>
  </w:style>
  <w:style w:type="paragraph" w:styleId="Zpat">
    <w:name w:val="footer"/>
    <w:basedOn w:val="Normln"/>
    <w:link w:val="ZpatChar"/>
    <w:uiPriority w:val="99"/>
    <w:unhideWhenUsed/>
    <w:rsid w:val="00AF25A8"/>
    <w:pPr>
      <w:tabs>
        <w:tab w:val="center" w:pos="4536"/>
        <w:tab w:val="right" w:pos="9072"/>
      </w:tabs>
      <w:spacing w:after="0" w:line="240" w:lineRule="auto"/>
      <w:ind w:firstLine="709"/>
      <w:contextualSpacing/>
      <w:jc w:val="both"/>
    </w:pPr>
    <w:rPr>
      <w:rFonts w:ascii="Palatino Linotype" w:hAnsi="Palatino Linotype"/>
      <w:sz w:val="24"/>
    </w:rPr>
  </w:style>
  <w:style w:type="character" w:customStyle="1" w:styleId="ZpatChar">
    <w:name w:val="Zápatí Char"/>
    <w:basedOn w:val="Standardnpsmoodstavce"/>
    <w:link w:val="Zpat"/>
    <w:uiPriority w:val="99"/>
    <w:rsid w:val="00AF25A8"/>
    <w:rPr>
      <w:rFonts w:ascii="Palatino Linotype" w:hAnsi="Palatino Linotyp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F25A8"/>
    <w:pPr>
      <w:spacing w:after="0" w:line="240" w:lineRule="auto"/>
      <w:ind w:firstLine="709"/>
      <w:contextualSpacing/>
      <w:jc w:val="both"/>
    </w:pPr>
    <w:rPr>
      <w:rFonts w:ascii="Palatino Linotype" w:hAnsi="Palatino Linotype"/>
      <w:sz w:val="20"/>
      <w:szCs w:val="20"/>
    </w:rPr>
  </w:style>
  <w:style w:type="character" w:customStyle="1" w:styleId="TextpoznpodarouChar">
    <w:name w:val="Text pozn. pod čarou Char"/>
    <w:basedOn w:val="Standardnpsmoodstavce"/>
    <w:link w:val="Textpoznpodarou"/>
    <w:uiPriority w:val="99"/>
    <w:semiHidden/>
    <w:rsid w:val="00AF25A8"/>
    <w:rPr>
      <w:rFonts w:ascii="Palatino Linotype" w:hAnsi="Palatino Linotype"/>
      <w:sz w:val="20"/>
      <w:szCs w:val="20"/>
    </w:rPr>
  </w:style>
  <w:style w:type="character" w:styleId="Znakapoznpodarou">
    <w:name w:val="footnote reference"/>
    <w:basedOn w:val="Standardnpsmoodstavce"/>
    <w:uiPriority w:val="99"/>
    <w:semiHidden/>
    <w:unhideWhenUsed/>
    <w:rsid w:val="00AF25A8"/>
    <w:rPr>
      <w:vertAlign w:val="superscript"/>
    </w:rPr>
  </w:style>
  <w:style w:type="paragraph" w:styleId="Zpat">
    <w:name w:val="footer"/>
    <w:basedOn w:val="Normln"/>
    <w:link w:val="ZpatChar"/>
    <w:uiPriority w:val="99"/>
    <w:unhideWhenUsed/>
    <w:rsid w:val="00AF25A8"/>
    <w:pPr>
      <w:tabs>
        <w:tab w:val="center" w:pos="4536"/>
        <w:tab w:val="right" w:pos="9072"/>
      </w:tabs>
      <w:spacing w:after="0" w:line="240" w:lineRule="auto"/>
      <w:ind w:firstLine="709"/>
      <w:contextualSpacing/>
      <w:jc w:val="both"/>
    </w:pPr>
    <w:rPr>
      <w:rFonts w:ascii="Palatino Linotype" w:hAnsi="Palatino Linotype"/>
      <w:sz w:val="24"/>
    </w:rPr>
  </w:style>
  <w:style w:type="character" w:customStyle="1" w:styleId="ZpatChar">
    <w:name w:val="Zápatí Char"/>
    <w:basedOn w:val="Standardnpsmoodstavce"/>
    <w:link w:val="Zpat"/>
    <w:uiPriority w:val="99"/>
    <w:rsid w:val="00AF25A8"/>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2538</Words>
  <Characters>14977</Characters>
  <Application>Microsoft Office Word</Application>
  <DocSecurity>0</DocSecurity>
  <Lines>124</Lines>
  <Paragraphs>34</Paragraphs>
  <ScaleCrop>false</ScaleCrop>
  <Company>Slovácké muzeum</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Portl</dc:creator>
  <cp:keywords/>
  <dc:description/>
  <cp:lastModifiedBy>Pavel Portl</cp:lastModifiedBy>
  <cp:revision>2</cp:revision>
  <dcterms:created xsi:type="dcterms:W3CDTF">2015-10-23T05:56:00Z</dcterms:created>
  <dcterms:modified xsi:type="dcterms:W3CDTF">2015-10-23T05:56:00Z</dcterms:modified>
</cp:coreProperties>
</file>